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1113"/>
        <w:gridCol w:w="1657"/>
        <w:gridCol w:w="6036"/>
        <w:gridCol w:w="220"/>
      </w:tblGrid>
      <w:tr w:rsidR="00CF3C81" w14:paraId="34B089E1" w14:textId="77777777" w:rsidTr="00801A43">
        <w:trPr>
          <w:jc w:val="center"/>
        </w:trPr>
        <w:tc>
          <w:tcPr>
            <w:tcW w:w="1117" w:type="dxa"/>
            <w:hideMark/>
          </w:tcPr>
          <w:p w14:paraId="0617CF1A" w14:textId="77777777" w:rsidR="00CF3C81" w:rsidRDefault="00CF3C81" w:rsidP="00801A43">
            <w:r>
              <w:rPr>
                <w:noProof/>
              </w:rPr>
              <w:drawing>
                <wp:inline distT="0" distB="0" distL="0" distR="0" wp14:anchorId="6CB92415" wp14:editId="15AA1A4A">
                  <wp:extent cx="508000" cy="584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00" cy="584200"/>
                          </a:xfrm>
                          <a:prstGeom prst="rect">
                            <a:avLst/>
                          </a:prstGeom>
                          <a:noFill/>
                          <a:ln>
                            <a:noFill/>
                          </a:ln>
                        </pic:spPr>
                      </pic:pic>
                    </a:graphicData>
                  </a:graphic>
                </wp:inline>
              </w:drawing>
            </w:r>
          </w:p>
        </w:tc>
        <w:tc>
          <w:tcPr>
            <w:tcW w:w="8125" w:type="dxa"/>
            <w:gridSpan w:val="3"/>
            <w:vAlign w:val="center"/>
            <w:hideMark/>
          </w:tcPr>
          <w:p w14:paraId="5A70CE8B" w14:textId="08B52972" w:rsidR="00CF3C81" w:rsidRPr="00DF2964" w:rsidRDefault="00CF3C81" w:rsidP="00CF3C81">
            <w:pPr>
              <w:pStyle w:val="Title"/>
            </w:pPr>
            <w:r>
              <w:t>02. Message Protection P</w:t>
            </w:r>
            <w:r w:rsidR="004C2242">
              <w:t>r</w:t>
            </w:r>
            <w:r>
              <w:t>o</w:t>
            </w:r>
            <w:r w:rsidR="004C2242">
              <w:t>cedure</w:t>
            </w:r>
          </w:p>
        </w:tc>
      </w:tr>
      <w:tr w:rsidR="00CF3C81" w14:paraId="53F4305C" w14:textId="77777777" w:rsidTr="00801A43">
        <w:trPr>
          <w:gridAfter w:val="1"/>
          <w:wAfter w:w="226" w:type="dxa"/>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3A65F57" w14:textId="77777777" w:rsidR="00CF3C81" w:rsidRDefault="00CF3C81" w:rsidP="00801A43">
            <w:pPr>
              <w:spacing w:before="120" w:after="120"/>
              <w:rPr>
                <w:i/>
                <w:iCs/>
              </w:rPr>
            </w:pPr>
            <w:r>
              <w:rPr>
                <w:i/>
                <w:iCs/>
              </w:rPr>
              <w:t>Audience</w:t>
            </w:r>
          </w:p>
        </w:tc>
        <w:tc>
          <w:tcPr>
            <w:tcW w:w="6186" w:type="dxa"/>
            <w:tcBorders>
              <w:top w:val="single" w:sz="4" w:space="0" w:color="auto"/>
              <w:left w:val="single" w:sz="4" w:space="0" w:color="auto"/>
              <w:bottom w:val="single" w:sz="4" w:space="0" w:color="auto"/>
              <w:right w:val="single" w:sz="4" w:space="0" w:color="auto"/>
            </w:tcBorders>
            <w:hideMark/>
          </w:tcPr>
          <w:p w14:paraId="50A48E4E" w14:textId="77777777" w:rsidR="00CF3C81" w:rsidRDefault="00CF3C81" w:rsidP="00801A43">
            <w:pPr>
              <w:spacing w:before="120" w:after="120"/>
            </w:pPr>
            <w:r>
              <w:t>All Territorial IT Administrators</w:t>
            </w:r>
            <w:r>
              <w:br/>
              <w:t>All Territorial Leaders</w:t>
            </w:r>
          </w:p>
        </w:tc>
      </w:tr>
      <w:tr w:rsidR="00CF3C81" w14:paraId="1C8FB047" w14:textId="77777777" w:rsidTr="00801A43">
        <w:trPr>
          <w:gridAfter w:val="1"/>
          <w:wAfter w:w="226" w:type="dxa"/>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9F01415" w14:textId="77777777" w:rsidR="00CF3C81" w:rsidRDefault="00CF3C81" w:rsidP="00801A43">
            <w:pPr>
              <w:spacing w:before="120" w:after="120"/>
              <w:rPr>
                <w:i/>
                <w:iCs/>
              </w:rPr>
            </w:pPr>
            <w:r>
              <w:rPr>
                <w:i/>
                <w:iCs/>
              </w:rPr>
              <w:t>Author</w:t>
            </w:r>
          </w:p>
        </w:tc>
        <w:tc>
          <w:tcPr>
            <w:tcW w:w="6186" w:type="dxa"/>
            <w:tcBorders>
              <w:top w:val="single" w:sz="4" w:space="0" w:color="auto"/>
              <w:left w:val="single" w:sz="4" w:space="0" w:color="auto"/>
              <w:bottom w:val="single" w:sz="4" w:space="0" w:color="auto"/>
              <w:right w:val="single" w:sz="4" w:space="0" w:color="auto"/>
            </w:tcBorders>
            <w:hideMark/>
          </w:tcPr>
          <w:p w14:paraId="6A3F6196" w14:textId="77777777" w:rsidR="00CF3C81" w:rsidRDefault="00CF3C81" w:rsidP="00801A43">
            <w:pPr>
              <w:spacing w:before="120" w:after="120"/>
            </w:pPr>
            <w:r>
              <w:t>IT Council</w:t>
            </w:r>
          </w:p>
        </w:tc>
      </w:tr>
      <w:tr w:rsidR="00CF3C81" w14:paraId="25B1DE01" w14:textId="77777777" w:rsidTr="00801A43">
        <w:trPr>
          <w:gridAfter w:val="1"/>
          <w:wAfter w:w="226" w:type="dxa"/>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F6A6623" w14:textId="77777777" w:rsidR="00CF3C81" w:rsidRDefault="00CF3C81" w:rsidP="00801A43">
            <w:pPr>
              <w:spacing w:before="120" w:after="120"/>
              <w:rPr>
                <w:i/>
                <w:iCs/>
              </w:rPr>
            </w:pPr>
            <w:r>
              <w:rPr>
                <w:i/>
                <w:iCs/>
              </w:rPr>
              <w:t>Owner</w:t>
            </w:r>
          </w:p>
        </w:tc>
        <w:tc>
          <w:tcPr>
            <w:tcW w:w="6186" w:type="dxa"/>
            <w:tcBorders>
              <w:top w:val="single" w:sz="4" w:space="0" w:color="auto"/>
              <w:left w:val="single" w:sz="4" w:space="0" w:color="auto"/>
              <w:bottom w:val="single" w:sz="4" w:space="0" w:color="auto"/>
              <w:right w:val="single" w:sz="4" w:space="0" w:color="auto"/>
            </w:tcBorders>
            <w:hideMark/>
          </w:tcPr>
          <w:p w14:paraId="3FDD3E75" w14:textId="77777777" w:rsidR="00CF3C81" w:rsidRDefault="00CF3C81" w:rsidP="00801A43">
            <w:pPr>
              <w:spacing w:before="120" w:after="120"/>
            </w:pPr>
            <w:r>
              <w:t>IMC</w:t>
            </w:r>
          </w:p>
        </w:tc>
      </w:tr>
      <w:tr w:rsidR="00CF3C81" w14:paraId="69904956" w14:textId="77777777" w:rsidTr="00801A43">
        <w:trPr>
          <w:gridAfter w:val="1"/>
          <w:wAfter w:w="226" w:type="dxa"/>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39E9B7D" w14:textId="77777777" w:rsidR="00CF3C81" w:rsidRDefault="00CF3C81" w:rsidP="00801A43">
            <w:pPr>
              <w:spacing w:before="120" w:after="120"/>
              <w:rPr>
                <w:i/>
                <w:iCs/>
              </w:rPr>
            </w:pPr>
            <w:r>
              <w:rPr>
                <w:i/>
                <w:iCs/>
              </w:rPr>
              <w:t>Version</w:t>
            </w:r>
          </w:p>
        </w:tc>
        <w:tc>
          <w:tcPr>
            <w:tcW w:w="6186" w:type="dxa"/>
            <w:tcBorders>
              <w:top w:val="single" w:sz="4" w:space="0" w:color="auto"/>
              <w:left w:val="single" w:sz="4" w:space="0" w:color="auto"/>
              <w:bottom w:val="single" w:sz="4" w:space="0" w:color="auto"/>
              <w:right w:val="single" w:sz="4" w:space="0" w:color="auto"/>
            </w:tcBorders>
            <w:hideMark/>
          </w:tcPr>
          <w:p w14:paraId="66BFDD0E" w14:textId="77777777" w:rsidR="00CF3C81" w:rsidRDefault="00CF3C81" w:rsidP="00801A43">
            <w:pPr>
              <w:spacing w:before="120" w:after="120"/>
            </w:pPr>
            <w:r>
              <w:t>1.0</w:t>
            </w:r>
          </w:p>
        </w:tc>
      </w:tr>
      <w:tr w:rsidR="00CF3C81" w14:paraId="6382A386" w14:textId="77777777" w:rsidTr="00801A43">
        <w:trPr>
          <w:gridAfter w:val="1"/>
          <w:wAfter w:w="226" w:type="dxa"/>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F5A4D9E" w14:textId="77777777" w:rsidR="00CF3C81" w:rsidRDefault="00CF3C81" w:rsidP="00801A43">
            <w:pPr>
              <w:spacing w:before="120" w:after="120"/>
              <w:rPr>
                <w:i/>
                <w:iCs/>
              </w:rPr>
            </w:pPr>
            <w:r>
              <w:rPr>
                <w:i/>
                <w:iCs/>
              </w:rPr>
              <w:t>Published</w:t>
            </w:r>
          </w:p>
        </w:tc>
        <w:tc>
          <w:tcPr>
            <w:tcW w:w="6186" w:type="dxa"/>
            <w:tcBorders>
              <w:top w:val="single" w:sz="4" w:space="0" w:color="auto"/>
              <w:left w:val="single" w:sz="4" w:space="0" w:color="auto"/>
              <w:bottom w:val="single" w:sz="4" w:space="0" w:color="auto"/>
              <w:right w:val="single" w:sz="4" w:space="0" w:color="auto"/>
            </w:tcBorders>
            <w:hideMark/>
          </w:tcPr>
          <w:p w14:paraId="26609D63" w14:textId="77777777" w:rsidR="00CF3C81" w:rsidRDefault="00CF3C81" w:rsidP="00801A43">
            <w:pPr>
              <w:spacing w:before="120" w:after="120"/>
            </w:pPr>
            <w:r>
              <w:t>10 August 2019</w:t>
            </w:r>
          </w:p>
        </w:tc>
      </w:tr>
      <w:tr w:rsidR="00CF3C81" w14:paraId="393CCE0A" w14:textId="77777777" w:rsidTr="00801A43">
        <w:trPr>
          <w:gridAfter w:val="1"/>
          <w:wAfter w:w="226" w:type="dxa"/>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5C82D3D" w14:textId="77777777" w:rsidR="00CF3C81" w:rsidRDefault="00CF3C81" w:rsidP="00801A43">
            <w:pPr>
              <w:spacing w:before="120" w:after="120"/>
              <w:rPr>
                <w:i/>
                <w:iCs/>
              </w:rPr>
            </w:pPr>
            <w:r>
              <w:rPr>
                <w:i/>
                <w:iCs/>
              </w:rPr>
              <w:t>Review</w:t>
            </w:r>
          </w:p>
        </w:tc>
        <w:tc>
          <w:tcPr>
            <w:tcW w:w="6186" w:type="dxa"/>
            <w:tcBorders>
              <w:top w:val="single" w:sz="4" w:space="0" w:color="auto"/>
              <w:left w:val="single" w:sz="4" w:space="0" w:color="auto"/>
              <w:bottom w:val="single" w:sz="4" w:space="0" w:color="auto"/>
              <w:right w:val="single" w:sz="4" w:space="0" w:color="auto"/>
            </w:tcBorders>
          </w:tcPr>
          <w:p w14:paraId="0B7C43AC" w14:textId="77777777" w:rsidR="00CF3C81" w:rsidRDefault="00CF3C81" w:rsidP="00801A43">
            <w:pPr>
              <w:spacing w:before="120" w:after="120"/>
            </w:pPr>
          </w:p>
        </w:tc>
      </w:tr>
    </w:tbl>
    <w:p w14:paraId="0E010EBA" w14:textId="43B4811F" w:rsidR="00BA15B1" w:rsidRDefault="605A365D" w:rsidP="605A365D">
      <w:pPr>
        <w:pStyle w:val="Heading1"/>
      </w:pPr>
      <w:r>
        <w:t>Version Control</w:t>
      </w:r>
    </w:p>
    <w:tbl>
      <w:tblPr>
        <w:tblStyle w:val="TableGrid"/>
        <w:tblW w:w="0" w:type="auto"/>
        <w:tblLayout w:type="fixed"/>
        <w:tblLook w:val="04A0" w:firstRow="1" w:lastRow="0" w:firstColumn="1" w:lastColumn="0" w:noHBand="0" w:noVBand="1"/>
      </w:tblPr>
      <w:tblGrid>
        <w:gridCol w:w="3009"/>
        <w:gridCol w:w="3009"/>
        <w:gridCol w:w="3009"/>
      </w:tblGrid>
      <w:tr w:rsidR="605A365D" w14:paraId="146F13F5" w14:textId="77777777" w:rsidTr="605A365D">
        <w:tc>
          <w:tcPr>
            <w:tcW w:w="3009" w:type="dxa"/>
          </w:tcPr>
          <w:p w14:paraId="0C0B647C" w14:textId="269CA724" w:rsidR="605A365D" w:rsidRDefault="605A365D">
            <w:r w:rsidRPr="605A365D">
              <w:rPr>
                <w:b/>
                <w:bCs/>
              </w:rPr>
              <w:t>Ver</w:t>
            </w:r>
          </w:p>
        </w:tc>
        <w:tc>
          <w:tcPr>
            <w:tcW w:w="3009" w:type="dxa"/>
          </w:tcPr>
          <w:p w14:paraId="0A0C6A43" w14:textId="1F41FB62" w:rsidR="605A365D" w:rsidRDefault="605A365D">
            <w:r w:rsidRPr="605A365D">
              <w:rPr>
                <w:b/>
                <w:bCs/>
              </w:rPr>
              <w:t>Date</w:t>
            </w:r>
          </w:p>
        </w:tc>
        <w:tc>
          <w:tcPr>
            <w:tcW w:w="3009" w:type="dxa"/>
          </w:tcPr>
          <w:p w14:paraId="671FACDD" w14:textId="7B6292B0" w:rsidR="605A365D" w:rsidRDefault="605A365D">
            <w:r w:rsidRPr="605A365D">
              <w:rPr>
                <w:b/>
                <w:bCs/>
              </w:rPr>
              <w:t>Comments</w:t>
            </w:r>
          </w:p>
        </w:tc>
      </w:tr>
      <w:tr w:rsidR="605A365D" w14:paraId="13AF4C89" w14:textId="77777777" w:rsidTr="605A365D">
        <w:tc>
          <w:tcPr>
            <w:tcW w:w="3009" w:type="dxa"/>
          </w:tcPr>
          <w:p w14:paraId="77544006" w14:textId="5D98A61D" w:rsidR="605A365D" w:rsidRDefault="605A365D">
            <w:r>
              <w:t>0.2</w:t>
            </w:r>
          </w:p>
        </w:tc>
        <w:tc>
          <w:tcPr>
            <w:tcW w:w="3009" w:type="dxa"/>
          </w:tcPr>
          <w:p w14:paraId="42C2B61E" w14:textId="332034F1" w:rsidR="605A365D" w:rsidRDefault="605A365D">
            <w:r>
              <w:t xml:space="preserve"> </w:t>
            </w:r>
          </w:p>
        </w:tc>
        <w:tc>
          <w:tcPr>
            <w:tcW w:w="3009" w:type="dxa"/>
          </w:tcPr>
          <w:p w14:paraId="21D94AFE" w14:textId="3F6ADCE3" w:rsidR="605A365D" w:rsidRDefault="605A365D">
            <w:r>
              <w:t xml:space="preserve"> </w:t>
            </w:r>
          </w:p>
        </w:tc>
      </w:tr>
      <w:tr w:rsidR="605A365D" w14:paraId="7E2E1401" w14:textId="77777777" w:rsidTr="605A365D">
        <w:tc>
          <w:tcPr>
            <w:tcW w:w="3009" w:type="dxa"/>
          </w:tcPr>
          <w:p w14:paraId="5AAB08A3" w14:textId="7B3C09B2" w:rsidR="605A365D" w:rsidRDefault="605A365D">
            <w:r>
              <w:t>0.1</w:t>
            </w:r>
          </w:p>
        </w:tc>
        <w:tc>
          <w:tcPr>
            <w:tcW w:w="3009" w:type="dxa"/>
          </w:tcPr>
          <w:p w14:paraId="1B36EB49" w14:textId="2D3AF05A" w:rsidR="605A365D" w:rsidRDefault="605A365D">
            <w:r>
              <w:t>22 October 2018</w:t>
            </w:r>
          </w:p>
        </w:tc>
        <w:tc>
          <w:tcPr>
            <w:tcW w:w="3009" w:type="dxa"/>
          </w:tcPr>
          <w:p w14:paraId="326E1082" w14:textId="24A8079B" w:rsidR="605A365D" w:rsidRDefault="605A365D">
            <w:r>
              <w:t xml:space="preserve">Initial version </w:t>
            </w:r>
          </w:p>
        </w:tc>
      </w:tr>
    </w:tbl>
    <w:p w14:paraId="09FCFE4B" w14:textId="49C6AE6E" w:rsidR="00BA15B1" w:rsidRDefault="605A365D" w:rsidP="605A365D">
      <w:pPr>
        <w:pStyle w:val="Heading1"/>
      </w:pPr>
      <w:r>
        <w:t>Published History</w:t>
      </w:r>
    </w:p>
    <w:tbl>
      <w:tblPr>
        <w:tblStyle w:val="TableGrid"/>
        <w:tblW w:w="0" w:type="auto"/>
        <w:tblLayout w:type="fixed"/>
        <w:tblLook w:val="04A0" w:firstRow="1" w:lastRow="0" w:firstColumn="1" w:lastColumn="0" w:noHBand="0" w:noVBand="1"/>
      </w:tblPr>
      <w:tblGrid>
        <w:gridCol w:w="3009"/>
        <w:gridCol w:w="3009"/>
        <w:gridCol w:w="3009"/>
      </w:tblGrid>
      <w:tr w:rsidR="605A365D" w14:paraId="34C80487" w14:textId="77777777" w:rsidTr="605A365D">
        <w:tc>
          <w:tcPr>
            <w:tcW w:w="3009" w:type="dxa"/>
          </w:tcPr>
          <w:p w14:paraId="411BEECE" w14:textId="34E84283" w:rsidR="605A365D" w:rsidRDefault="605A365D">
            <w:r w:rsidRPr="605A365D">
              <w:rPr>
                <w:b/>
                <w:bCs/>
              </w:rPr>
              <w:t>Ver</w:t>
            </w:r>
          </w:p>
        </w:tc>
        <w:tc>
          <w:tcPr>
            <w:tcW w:w="3009" w:type="dxa"/>
          </w:tcPr>
          <w:p w14:paraId="6CACC1A8" w14:textId="286308FF" w:rsidR="605A365D" w:rsidRDefault="605A365D">
            <w:r w:rsidRPr="605A365D">
              <w:rPr>
                <w:b/>
                <w:bCs/>
              </w:rPr>
              <w:t>Published Date</w:t>
            </w:r>
          </w:p>
        </w:tc>
        <w:tc>
          <w:tcPr>
            <w:tcW w:w="3009" w:type="dxa"/>
          </w:tcPr>
          <w:p w14:paraId="1577D642" w14:textId="7868D392" w:rsidR="605A365D" w:rsidRDefault="605A365D">
            <w:r w:rsidRPr="605A365D">
              <w:rPr>
                <w:b/>
                <w:bCs/>
              </w:rPr>
              <w:t>Published By</w:t>
            </w:r>
          </w:p>
        </w:tc>
      </w:tr>
      <w:tr w:rsidR="605A365D" w14:paraId="56771DF2" w14:textId="77777777" w:rsidTr="605A365D">
        <w:tc>
          <w:tcPr>
            <w:tcW w:w="3009" w:type="dxa"/>
          </w:tcPr>
          <w:p w14:paraId="0F14152F" w14:textId="0FF91A3E" w:rsidR="605A365D" w:rsidRDefault="605A365D">
            <w:r>
              <w:t xml:space="preserve"> </w:t>
            </w:r>
          </w:p>
        </w:tc>
        <w:tc>
          <w:tcPr>
            <w:tcW w:w="3009" w:type="dxa"/>
          </w:tcPr>
          <w:p w14:paraId="18537940" w14:textId="4BAB3362" w:rsidR="605A365D" w:rsidRDefault="605A365D">
            <w:r>
              <w:t xml:space="preserve"> </w:t>
            </w:r>
          </w:p>
        </w:tc>
        <w:tc>
          <w:tcPr>
            <w:tcW w:w="3009" w:type="dxa"/>
          </w:tcPr>
          <w:p w14:paraId="4E62932C" w14:textId="5E321821" w:rsidR="605A365D" w:rsidRDefault="605A365D">
            <w:r>
              <w:t xml:space="preserve"> </w:t>
            </w:r>
          </w:p>
        </w:tc>
      </w:tr>
      <w:tr w:rsidR="605A365D" w14:paraId="3609D423" w14:textId="77777777" w:rsidTr="605A365D">
        <w:tc>
          <w:tcPr>
            <w:tcW w:w="3009" w:type="dxa"/>
          </w:tcPr>
          <w:p w14:paraId="4FD2BC7A" w14:textId="26CB8C2B" w:rsidR="605A365D" w:rsidRDefault="605A365D">
            <w:r>
              <w:t xml:space="preserve"> </w:t>
            </w:r>
          </w:p>
        </w:tc>
        <w:tc>
          <w:tcPr>
            <w:tcW w:w="3009" w:type="dxa"/>
          </w:tcPr>
          <w:p w14:paraId="78C904D4" w14:textId="24FFEBFE" w:rsidR="605A365D" w:rsidRDefault="605A365D">
            <w:r>
              <w:t xml:space="preserve"> </w:t>
            </w:r>
          </w:p>
        </w:tc>
        <w:tc>
          <w:tcPr>
            <w:tcW w:w="3009" w:type="dxa"/>
          </w:tcPr>
          <w:p w14:paraId="531BDC15" w14:textId="5BE5DA86" w:rsidR="605A365D" w:rsidRDefault="605A365D">
            <w:r>
              <w:t xml:space="preserve"> </w:t>
            </w:r>
          </w:p>
        </w:tc>
      </w:tr>
    </w:tbl>
    <w:p w14:paraId="12F2DD49" w14:textId="77777777" w:rsidR="00CF3C81" w:rsidRDefault="00CF3C81" w:rsidP="605A365D">
      <w:pPr>
        <w:rPr>
          <w:lang w:val="en-US"/>
        </w:rPr>
      </w:pPr>
    </w:p>
    <w:p w14:paraId="4ED9CBA2" w14:textId="10549B0E" w:rsidR="00CF3C81" w:rsidRPr="00AD64D0" w:rsidRDefault="00CF3C81" w:rsidP="00AD64D0">
      <w:pPr>
        <w:pStyle w:val="Heading1"/>
        <w:rPr>
          <w:lang w:val="en-US"/>
        </w:rPr>
      </w:pPr>
      <w:r>
        <w:rPr>
          <w:lang w:val="en-US"/>
        </w:rPr>
        <w:t>Introduction</w:t>
      </w:r>
    </w:p>
    <w:p w14:paraId="28884B6F" w14:textId="1C7D6B02" w:rsidR="00381C8A" w:rsidRPr="007F7097" w:rsidRDefault="605A365D">
      <w:pPr>
        <w:rPr>
          <w:lang w:val="en-US"/>
        </w:rPr>
      </w:pPr>
      <w:r w:rsidRPr="605A365D">
        <w:rPr>
          <w:lang w:val="en-US"/>
        </w:rPr>
        <w:t>The Salvation Army has historically used IBM Notes encryption to protect highly confidential emails. Office 365 has a different implementation to protect messages and provide encryption. This document discusses the scenarios in which the Army may need to use some type of message protection.</w:t>
      </w:r>
      <w:r w:rsidR="00381C8A">
        <w:rPr>
          <w:lang w:val="en-US"/>
        </w:rPr>
        <w:br w:type="page"/>
      </w:r>
    </w:p>
    <w:p w14:paraId="3BB6DD8B" w14:textId="12BAEFA5" w:rsidR="00BA15B1" w:rsidRDefault="63FFDAE5" w:rsidP="63FFDAE5">
      <w:pPr>
        <w:pStyle w:val="Heading1"/>
        <w:rPr>
          <w:lang w:val="en-US"/>
        </w:rPr>
      </w:pPr>
      <w:r w:rsidRPr="63FFDAE5">
        <w:rPr>
          <w:lang w:val="en-US"/>
        </w:rPr>
        <w:lastRenderedPageBreak/>
        <w:t>Encryption Scenarios</w:t>
      </w:r>
    </w:p>
    <w:p w14:paraId="3A66B2F3" w14:textId="03EA7BE1" w:rsidR="00BC7B2D" w:rsidRPr="00EC47C8" w:rsidRDefault="63FFDAE5" w:rsidP="63FFDAE5">
      <w:r w:rsidRPr="63FFDAE5">
        <w:rPr>
          <w:rFonts w:ascii="Calibri" w:eastAsia="Calibri" w:hAnsi="Calibri" w:cs="Calibri"/>
          <w:lang w:val="en-US"/>
        </w:rPr>
        <w:t>Your message in Office 365 Outlook is transmitted and stored securely to other Office 365 users. Encryption is not</w:t>
      </w:r>
      <w:r w:rsidR="001E00B2">
        <w:rPr>
          <w:rFonts w:ascii="Calibri" w:eastAsia="Calibri" w:hAnsi="Calibri" w:cs="Calibri"/>
          <w:lang w:val="en-US"/>
        </w:rPr>
        <w:t xml:space="preserve"> normally</w:t>
      </w:r>
      <w:r w:rsidRPr="63FFDAE5">
        <w:rPr>
          <w:rFonts w:ascii="Calibri" w:eastAsia="Calibri" w:hAnsi="Calibri" w:cs="Calibri"/>
          <w:lang w:val="en-US"/>
        </w:rPr>
        <w:t xml:space="preserve"> needed unless the message falls within the following scenarios</w:t>
      </w:r>
      <w:r w:rsidR="00EC47C8">
        <w:rPr>
          <w:rFonts w:ascii="Calibri" w:eastAsia="Calibri" w:hAnsi="Calibri" w:cs="Calibri"/>
          <w:lang w:val="en-US"/>
        </w:rPr>
        <w:t>:</w:t>
      </w:r>
    </w:p>
    <w:p w14:paraId="407250FF" w14:textId="5F0FEF4F" w:rsidR="00021A74" w:rsidRDefault="63FFDAE5" w:rsidP="003652F3">
      <w:pPr>
        <w:pStyle w:val="ListParagraph"/>
        <w:numPr>
          <w:ilvl w:val="0"/>
          <w:numId w:val="1"/>
        </w:numPr>
        <w:rPr>
          <w:lang w:val="en-US"/>
        </w:rPr>
      </w:pPr>
      <w:r w:rsidRPr="63FFDAE5">
        <w:rPr>
          <w:lang w:val="en-US"/>
        </w:rPr>
        <w:t>Message unreadable by anyone except the recipient</w:t>
      </w:r>
      <w:r w:rsidR="00021A74">
        <w:rPr>
          <w:lang w:val="en-US"/>
        </w:rPr>
        <w:t>(s)</w:t>
      </w:r>
      <w:r w:rsidR="003652F3">
        <w:rPr>
          <w:lang w:val="en-US"/>
        </w:rPr>
        <w:t xml:space="preserve"> including the </w:t>
      </w:r>
      <w:r w:rsidR="00021A74" w:rsidRPr="213EB7CF">
        <w:rPr>
          <w:lang w:val="en-US"/>
        </w:rPr>
        <w:t>assistant</w:t>
      </w:r>
    </w:p>
    <w:p w14:paraId="7C9A177B" w14:textId="77777777" w:rsidR="00021A74" w:rsidRDefault="00021A74" w:rsidP="00021A74">
      <w:pPr>
        <w:pStyle w:val="ListParagraph"/>
        <w:numPr>
          <w:ilvl w:val="0"/>
          <w:numId w:val="1"/>
        </w:numPr>
        <w:rPr>
          <w:lang w:val="en-US"/>
        </w:rPr>
      </w:pPr>
      <w:r>
        <w:rPr>
          <w:lang w:val="en-US"/>
        </w:rPr>
        <w:t>Privileged legal information unreadable by anyone except the recipient(s)</w:t>
      </w:r>
    </w:p>
    <w:p w14:paraId="5F246C9D" w14:textId="2D582F81" w:rsidR="00BA15B1" w:rsidRDefault="63FFDAE5" w:rsidP="63FFDAE5">
      <w:pPr>
        <w:pStyle w:val="ListParagraph"/>
        <w:numPr>
          <w:ilvl w:val="0"/>
          <w:numId w:val="1"/>
        </w:numPr>
        <w:rPr>
          <w:lang w:val="en-US"/>
        </w:rPr>
      </w:pPr>
      <w:r w:rsidRPr="63FFDAE5">
        <w:rPr>
          <w:lang w:val="en-US"/>
        </w:rPr>
        <w:t>Message must not be copied, printed or forwarded</w:t>
      </w:r>
    </w:p>
    <w:p w14:paraId="1C22CDAA" w14:textId="610EDA9A" w:rsidR="007D423A" w:rsidRDefault="00635FB2" w:rsidP="00202F3A">
      <w:pPr>
        <w:pStyle w:val="ListParagraph"/>
        <w:numPr>
          <w:ilvl w:val="0"/>
          <w:numId w:val="1"/>
        </w:numPr>
        <w:rPr>
          <w:lang w:val="en-US"/>
        </w:rPr>
      </w:pPr>
      <w:r>
        <w:rPr>
          <w:lang w:val="en-US"/>
        </w:rPr>
        <w:t>Some individuals</w:t>
      </w:r>
      <w:r w:rsidR="00460111">
        <w:rPr>
          <w:lang w:val="en-US"/>
        </w:rPr>
        <w:t xml:space="preserve"> (</w:t>
      </w:r>
      <w:r w:rsidR="00627E0A">
        <w:rPr>
          <w:lang w:val="en-US"/>
        </w:rPr>
        <w:t>i</w:t>
      </w:r>
      <w:r w:rsidR="00460111">
        <w:rPr>
          <w:lang w:val="en-US"/>
        </w:rPr>
        <w:t xml:space="preserve">nternal </w:t>
      </w:r>
      <w:r w:rsidR="00627E0A">
        <w:rPr>
          <w:lang w:val="en-US"/>
        </w:rPr>
        <w:t>or</w:t>
      </w:r>
      <w:r w:rsidR="00460111">
        <w:rPr>
          <w:lang w:val="en-US"/>
        </w:rPr>
        <w:t xml:space="preserve"> </w:t>
      </w:r>
      <w:r w:rsidR="00627E0A">
        <w:rPr>
          <w:lang w:val="en-US"/>
        </w:rPr>
        <w:t>e</w:t>
      </w:r>
      <w:r w:rsidR="00460111">
        <w:rPr>
          <w:lang w:val="en-US"/>
        </w:rPr>
        <w:t xml:space="preserve">xternal) may require all </w:t>
      </w:r>
      <w:r>
        <w:rPr>
          <w:lang w:val="en-US"/>
        </w:rPr>
        <w:t>messages to be encrypted during transport</w:t>
      </w:r>
    </w:p>
    <w:p w14:paraId="11E5427B" w14:textId="1FADDE49" w:rsidR="00CC0348" w:rsidRPr="00CC0348" w:rsidRDefault="00CC0348" w:rsidP="00CC0348">
      <w:pPr>
        <w:pStyle w:val="ListParagraph"/>
        <w:numPr>
          <w:ilvl w:val="0"/>
          <w:numId w:val="1"/>
        </w:numPr>
        <w:rPr>
          <w:lang w:val="en-US"/>
        </w:rPr>
      </w:pPr>
      <w:r w:rsidRPr="213EB7CF">
        <w:rPr>
          <w:lang w:val="en-US"/>
        </w:rPr>
        <w:t xml:space="preserve">Subject </w:t>
      </w:r>
      <w:r w:rsidR="00F86AD9">
        <w:rPr>
          <w:lang w:val="en-US"/>
        </w:rPr>
        <w:t xml:space="preserve">access </w:t>
      </w:r>
      <w:bookmarkStart w:id="0" w:name="_GoBack"/>
      <w:bookmarkEnd w:id="0"/>
      <w:r w:rsidRPr="213EB7CF">
        <w:rPr>
          <w:lang w:val="en-US"/>
        </w:rPr>
        <w:t>request (GDPR</w:t>
      </w:r>
      <w:r>
        <w:rPr>
          <w:lang w:val="en-US"/>
        </w:rPr>
        <w:t xml:space="preserve"> and e-discovery</w:t>
      </w:r>
      <w:r w:rsidRPr="213EB7CF">
        <w:rPr>
          <w:lang w:val="en-US"/>
        </w:rPr>
        <w:t>) for information surfaces encrypted messages</w:t>
      </w:r>
    </w:p>
    <w:p w14:paraId="08EEC79B" w14:textId="60EF78CB" w:rsidR="00B065EC" w:rsidRDefault="00B065EC" w:rsidP="63FFDAE5">
      <w:pPr>
        <w:pStyle w:val="ListParagraph"/>
        <w:ind w:left="0"/>
        <w:rPr>
          <w:lang w:val="en-US"/>
        </w:rPr>
      </w:pPr>
    </w:p>
    <w:p w14:paraId="5DF9EED1" w14:textId="40E8C857" w:rsidR="00EC47C8" w:rsidRDefault="00EC47C8" w:rsidP="63FFDAE5">
      <w:pPr>
        <w:pStyle w:val="ListParagraph"/>
        <w:ind w:left="0"/>
        <w:rPr>
          <w:lang w:val="en-US"/>
        </w:rPr>
      </w:pPr>
      <w:r w:rsidRPr="63FFDAE5">
        <w:rPr>
          <w:lang w:val="en-US"/>
        </w:rPr>
        <w:t>It is anticipated that these scenarios will exist for internal and external recipients when sending emails of a private nature or where the attachment needs to be protected</w:t>
      </w:r>
      <w:r w:rsidR="00F61BD7">
        <w:rPr>
          <w:lang w:val="en-US"/>
        </w:rPr>
        <w:t>.</w:t>
      </w:r>
    </w:p>
    <w:p w14:paraId="025DCE2C" w14:textId="04AF8C20" w:rsidR="00EC47C8" w:rsidRDefault="00271373" w:rsidP="00271373">
      <w:pPr>
        <w:pStyle w:val="Heading1"/>
        <w:rPr>
          <w:lang w:val="en-US"/>
        </w:rPr>
      </w:pPr>
      <w:r>
        <w:rPr>
          <w:lang w:val="en-US"/>
        </w:rPr>
        <w:t>Data Loss Protection</w:t>
      </w:r>
    </w:p>
    <w:p w14:paraId="7FCA6972" w14:textId="77777777" w:rsidR="00BB765F" w:rsidRDefault="00BB765F" w:rsidP="00BB765F">
      <w:pPr>
        <w:rPr>
          <w:lang w:val="en-GB"/>
        </w:rPr>
      </w:pPr>
      <w:r>
        <w:rPr>
          <w:lang w:val="en-GB"/>
        </w:rPr>
        <w:t>Office 365 offers services to assist in complying with privacy laws that many countries have passed. One such example is the GDPR legislation that applies to all member states of the EU. Part of complying with these laws is being able to dispose of information related to a person.</w:t>
      </w:r>
    </w:p>
    <w:p w14:paraId="133C3826" w14:textId="77777777" w:rsidR="00BB765F" w:rsidRDefault="00BB765F" w:rsidP="00BB765F">
      <w:pPr>
        <w:rPr>
          <w:lang w:val="en-GB"/>
        </w:rPr>
      </w:pPr>
      <w:r>
        <w:rPr>
          <w:lang w:val="en-GB"/>
        </w:rPr>
        <w:t xml:space="preserve">DLP (Data Lass Prevention) policies allow us to identify common personally identifiable information – driver license, passport, etc – and other sensitive information - social security numbers, credit card, etc – then act upon it. </w:t>
      </w:r>
      <w:commentRangeStart w:id="1"/>
      <w:r>
        <w:rPr>
          <w:lang w:val="en-GB"/>
        </w:rPr>
        <w:t>With</w:t>
      </w:r>
      <w:commentRangeEnd w:id="1"/>
      <w:r>
        <w:rPr>
          <w:rStyle w:val="CommentReference"/>
        </w:rPr>
        <w:commentReference w:id="1"/>
      </w:r>
      <w:r>
        <w:rPr>
          <w:lang w:val="en-GB"/>
        </w:rPr>
        <w:t xml:space="preserve"> the correct license, information can be automatically categorised to ensure compliance with legislation we are aware of.</w:t>
      </w:r>
    </w:p>
    <w:p w14:paraId="0842B57E" w14:textId="77777777" w:rsidR="00BB765F" w:rsidRPr="001E5BA0" w:rsidRDefault="00BB765F" w:rsidP="00BB765F">
      <w:pPr>
        <w:rPr>
          <w:lang w:val="en-GB"/>
        </w:rPr>
      </w:pPr>
      <w:r>
        <w:rPr>
          <w:lang w:val="en-GB"/>
        </w:rPr>
        <w:t xml:space="preserve">Currently the GLOBAL tenant identifies some of the abovementioned types of information in email messages and warns the sender. This is deliberate as we navigate our way in a new operating environment with compliance requirements like GDPR. </w:t>
      </w:r>
    </w:p>
    <w:p w14:paraId="03562703" w14:textId="7EEA39BF" w:rsidR="00BD5E03" w:rsidRDefault="00EC12E1" w:rsidP="00EC12E1">
      <w:pPr>
        <w:pStyle w:val="Heading1"/>
        <w:rPr>
          <w:lang w:val="en-US"/>
        </w:rPr>
      </w:pPr>
      <w:r>
        <w:rPr>
          <w:lang w:val="en-US"/>
        </w:rPr>
        <w:t>Technical Solution</w:t>
      </w:r>
    </w:p>
    <w:p w14:paraId="68FD8BA5" w14:textId="45183286" w:rsidR="00EC12E1" w:rsidRDefault="00656BAE" w:rsidP="00EC12E1">
      <w:pPr>
        <w:rPr>
          <w:lang w:val="en-US"/>
        </w:rPr>
      </w:pPr>
      <w:r>
        <w:rPr>
          <w:lang w:val="en-US"/>
        </w:rPr>
        <w:t>Outlook provides out-of-the-box options for message protection</w:t>
      </w:r>
      <w:r w:rsidR="003C33F4">
        <w:rPr>
          <w:lang w:val="en-US"/>
        </w:rPr>
        <w:t xml:space="preserve">. </w:t>
      </w:r>
      <w:r w:rsidR="004C34F2">
        <w:rPr>
          <w:lang w:val="en-US"/>
        </w:rPr>
        <w:t>The default options are:</w:t>
      </w:r>
    </w:p>
    <w:p w14:paraId="4C571898" w14:textId="4BA2753D" w:rsidR="004C34F2" w:rsidRDefault="004C34F2" w:rsidP="00EC12E1">
      <w:pPr>
        <w:rPr>
          <w:lang w:val="en-US"/>
        </w:rPr>
      </w:pPr>
      <w:r>
        <w:rPr>
          <w:noProof/>
        </w:rPr>
        <w:drawing>
          <wp:inline distT="0" distB="0" distL="0" distR="0" wp14:anchorId="74B27EE3" wp14:editId="4337B834">
            <wp:extent cx="5731510" cy="1905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905000"/>
                    </a:xfrm>
                    <a:prstGeom prst="rect">
                      <a:avLst/>
                    </a:prstGeom>
                  </pic:spPr>
                </pic:pic>
              </a:graphicData>
            </a:graphic>
          </wp:inline>
        </w:drawing>
      </w:r>
    </w:p>
    <w:p w14:paraId="3278708A" w14:textId="308A9F7C" w:rsidR="004C34F2" w:rsidRDefault="004C34F2" w:rsidP="00EC12E1">
      <w:pPr>
        <w:rPr>
          <w:lang w:val="en-US"/>
        </w:rPr>
      </w:pPr>
    </w:p>
    <w:p w14:paraId="51151710" w14:textId="40A77E65" w:rsidR="004C34F2" w:rsidRDefault="002A0BAC" w:rsidP="00EC12E1">
      <w:pPr>
        <w:rPr>
          <w:lang w:val="en-US"/>
        </w:rPr>
      </w:pPr>
      <w:r>
        <w:rPr>
          <w:lang w:val="en-US"/>
        </w:rPr>
        <w:t>P</w:t>
      </w:r>
      <w:r w:rsidR="004C34F2">
        <w:rPr>
          <w:lang w:val="en-US"/>
        </w:rPr>
        <w:t>rotect</w:t>
      </w:r>
      <w:r>
        <w:rPr>
          <w:lang w:val="en-US"/>
        </w:rPr>
        <w:t>ion for each of our scenarios are as follows:</w:t>
      </w:r>
    </w:p>
    <w:p w14:paraId="74A8C6F3" w14:textId="1D0CFB47" w:rsidR="002A0BAC" w:rsidRPr="005F55B6" w:rsidRDefault="005F55B6" w:rsidP="005F55B6">
      <w:pPr>
        <w:pStyle w:val="ListParagraph"/>
        <w:numPr>
          <w:ilvl w:val="0"/>
          <w:numId w:val="18"/>
        </w:numPr>
        <w:rPr>
          <w:lang w:val="en-US"/>
        </w:rPr>
      </w:pPr>
      <w:r w:rsidRPr="63FFDAE5">
        <w:rPr>
          <w:lang w:val="en-US"/>
        </w:rPr>
        <w:t>Message unreadable by anyone except the recipient</w:t>
      </w:r>
      <w:r>
        <w:rPr>
          <w:lang w:val="en-US"/>
        </w:rPr>
        <w:t xml:space="preserve">(s) including the </w:t>
      </w:r>
      <w:r w:rsidRPr="213EB7CF">
        <w:rPr>
          <w:lang w:val="en-US"/>
        </w:rPr>
        <w:t>assistant</w:t>
      </w:r>
      <w:r>
        <w:rPr>
          <w:lang w:val="en-US"/>
        </w:rPr>
        <w:br/>
        <w:t>Se</w:t>
      </w:r>
      <w:r w:rsidR="009752E0">
        <w:rPr>
          <w:lang w:val="en-US"/>
        </w:rPr>
        <w:t>lect</w:t>
      </w:r>
      <w:r>
        <w:rPr>
          <w:lang w:val="en-US"/>
        </w:rPr>
        <w:t xml:space="preserve"> </w:t>
      </w:r>
      <w:r w:rsidRPr="005F55B6">
        <w:rPr>
          <w:lang w:val="en-US"/>
        </w:rPr>
        <w:t>Encrypt-Only</w:t>
      </w:r>
      <w:r>
        <w:rPr>
          <w:lang w:val="en-US"/>
        </w:rPr>
        <w:t xml:space="preserve"> </w:t>
      </w:r>
      <w:r w:rsidR="006F168B">
        <w:rPr>
          <w:lang w:val="en-US"/>
        </w:rPr>
        <w:t>as permission</w:t>
      </w:r>
    </w:p>
    <w:p w14:paraId="621B4A45" w14:textId="77777777" w:rsidR="009752E0" w:rsidRDefault="009752E0" w:rsidP="009752E0">
      <w:pPr>
        <w:pStyle w:val="ListParagraph"/>
        <w:numPr>
          <w:ilvl w:val="0"/>
          <w:numId w:val="18"/>
        </w:numPr>
        <w:rPr>
          <w:lang w:val="en-US"/>
        </w:rPr>
      </w:pPr>
      <w:r>
        <w:rPr>
          <w:lang w:val="en-US"/>
        </w:rPr>
        <w:t>Privileged legal information unreadable by anyone except the recipient(s)</w:t>
      </w:r>
    </w:p>
    <w:p w14:paraId="2145402A" w14:textId="64EAC178" w:rsidR="0076348D" w:rsidRDefault="009752E0" w:rsidP="009752E0">
      <w:pPr>
        <w:pStyle w:val="ListParagraph"/>
        <w:rPr>
          <w:lang w:val="en-US"/>
        </w:rPr>
      </w:pPr>
      <w:r>
        <w:rPr>
          <w:lang w:val="en-US"/>
        </w:rPr>
        <w:lastRenderedPageBreak/>
        <w:t xml:space="preserve">Set </w:t>
      </w:r>
      <w:r w:rsidR="00752B93">
        <w:rPr>
          <w:lang w:val="en-US"/>
        </w:rPr>
        <w:t>Do Not Forward</w:t>
      </w:r>
      <w:r>
        <w:rPr>
          <w:lang w:val="en-US"/>
        </w:rPr>
        <w:t xml:space="preserve"> </w:t>
      </w:r>
      <w:r w:rsidR="006F168B">
        <w:rPr>
          <w:lang w:val="en-US"/>
        </w:rPr>
        <w:t xml:space="preserve">as permission </w:t>
      </w:r>
      <w:r>
        <w:rPr>
          <w:lang w:val="en-US"/>
        </w:rPr>
        <w:t>on message</w:t>
      </w:r>
    </w:p>
    <w:p w14:paraId="118DC056" w14:textId="38064DFD" w:rsidR="006F168B" w:rsidRDefault="006F168B" w:rsidP="006F168B">
      <w:pPr>
        <w:pStyle w:val="ListParagraph"/>
        <w:numPr>
          <w:ilvl w:val="0"/>
          <w:numId w:val="18"/>
        </w:numPr>
        <w:rPr>
          <w:lang w:val="en-US"/>
        </w:rPr>
      </w:pPr>
      <w:r w:rsidRPr="63FFDAE5">
        <w:rPr>
          <w:lang w:val="en-US"/>
        </w:rPr>
        <w:t>Message must not be copied, printed or forwarded</w:t>
      </w:r>
    </w:p>
    <w:p w14:paraId="7BB54CF2" w14:textId="1B94D6EF" w:rsidR="00752B93" w:rsidRDefault="006F168B" w:rsidP="006F168B">
      <w:pPr>
        <w:pStyle w:val="ListParagraph"/>
        <w:rPr>
          <w:lang w:val="en-US"/>
        </w:rPr>
      </w:pPr>
      <w:r>
        <w:rPr>
          <w:lang w:val="en-US"/>
        </w:rPr>
        <w:t xml:space="preserve">Select </w:t>
      </w:r>
      <w:r w:rsidR="00752B93">
        <w:rPr>
          <w:lang w:val="en-US"/>
        </w:rPr>
        <w:t>Do Not Forward</w:t>
      </w:r>
      <w:r w:rsidR="009752E0">
        <w:rPr>
          <w:lang w:val="en-US"/>
        </w:rPr>
        <w:t xml:space="preserve"> </w:t>
      </w:r>
      <w:r>
        <w:rPr>
          <w:lang w:val="en-US"/>
        </w:rPr>
        <w:t xml:space="preserve">as permission </w:t>
      </w:r>
      <w:r w:rsidR="009752E0">
        <w:rPr>
          <w:lang w:val="en-US"/>
        </w:rPr>
        <w:t>on message</w:t>
      </w:r>
    </w:p>
    <w:p w14:paraId="74F7C819" w14:textId="34437965" w:rsidR="00CC0348" w:rsidRPr="00034BE1" w:rsidRDefault="00DE5D51" w:rsidP="00034BE1">
      <w:pPr>
        <w:pStyle w:val="ListParagraph"/>
        <w:numPr>
          <w:ilvl w:val="0"/>
          <w:numId w:val="18"/>
        </w:numPr>
        <w:rPr>
          <w:lang w:val="en-US"/>
        </w:rPr>
      </w:pPr>
      <w:r w:rsidRPr="00034BE1">
        <w:rPr>
          <w:lang w:val="en-US"/>
        </w:rPr>
        <w:t>Some individuals (internal or external) may require all messages to be encrypted during transport</w:t>
      </w:r>
      <w:r>
        <w:rPr>
          <w:lang w:val="en-US"/>
        </w:rPr>
        <w:t xml:space="preserve"> </w:t>
      </w:r>
      <w:r>
        <w:rPr>
          <w:lang w:val="en-US"/>
        </w:rPr>
        <w:br/>
      </w:r>
      <w:r w:rsidR="00034BE1">
        <w:rPr>
          <w:lang w:val="en-US"/>
        </w:rPr>
        <w:t>Select Encrypt-only as permission on message</w:t>
      </w:r>
    </w:p>
    <w:p w14:paraId="594307E6" w14:textId="06FB54A4" w:rsidR="00ED4C8C" w:rsidRDefault="000A2C45" w:rsidP="002A0BAC">
      <w:pPr>
        <w:pStyle w:val="ListParagraph"/>
        <w:numPr>
          <w:ilvl w:val="0"/>
          <w:numId w:val="18"/>
        </w:numPr>
        <w:rPr>
          <w:lang w:val="en-US"/>
        </w:rPr>
      </w:pPr>
      <w:r>
        <w:rPr>
          <w:lang w:val="en-US"/>
        </w:rPr>
        <w:t xml:space="preserve">Subject </w:t>
      </w:r>
      <w:r w:rsidR="00F86AD9">
        <w:rPr>
          <w:lang w:val="en-US"/>
        </w:rPr>
        <w:t xml:space="preserve">access </w:t>
      </w:r>
      <w:r>
        <w:rPr>
          <w:lang w:val="en-US"/>
        </w:rPr>
        <w:t xml:space="preserve">request (GDPR and e-discovery) for </w:t>
      </w:r>
      <w:r w:rsidR="009F35D0">
        <w:rPr>
          <w:lang w:val="en-US"/>
        </w:rPr>
        <w:t xml:space="preserve">information </w:t>
      </w:r>
      <w:r w:rsidR="009F35D0">
        <w:rPr>
          <w:lang w:val="en-US"/>
        </w:rPr>
        <w:br/>
      </w:r>
      <w:r w:rsidR="00C74C78">
        <w:rPr>
          <w:lang w:val="en-US"/>
        </w:rPr>
        <w:t xml:space="preserve">This scenario does not require permissions, rather it is one where </w:t>
      </w:r>
      <w:r w:rsidR="00CC0348">
        <w:rPr>
          <w:lang w:val="en-US"/>
        </w:rPr>
        <w:t>protected message may need to be discovered as part of a GDPR information request.</w:t>
      </w:r>
    </w:p>
    <w:p w14:paraId="6242568B" w14:textId="77777777" w:rsidR="00752B93" w:rsidRPr="00752B93" w:rsidRDefault="00752B93" w:rsidP="00752B93">
      <w:pPr>
        <w:rPr>
          <w:lang w:val="en-US"/>
        </w:rPr>
      </w:pPr>
    </w:p>
    <w:sectPr w:rsidR="00752B93" w:rsidRPr="00752B9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S Guest" w:date="2018-11-05T09:23:00Z" w:initials="RG">
    <w:p w14:paraId="02395248" w14:textId="77777777" w:rsidR="00BB765F" w:rsidRDefault="00BB765F" w:rsidP="00BB765F">
      <w:pPr>
        <w:pStyle w:val="CommentText"/>
      </w:pPr>
      <w:r>
        <w:t>This sentence is confusing to me. Maybe it is clearer if it reads, "With the correct license, information can be automatically categorised to ensure compliance with legislation we are aware of."? (The comma may help. But, I'm still not sure what we're saying.)</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39524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395248" w16cid:durableId="26958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CCF4" w14:textId="77777777" w:rsidR="007B76D3" w:rsidRDefault="007B76D3" w:rsidP="00F62BBE">
      <w:pPr>
        <w:spacing w:after="0" w:line="240" w:lineRule="auto"/>
      </w:pPr>
      <w:r>
        <w:separator/>
      </w:r>
    </w:p>
  </w:endnote>
  <w:endnote w:type="continuationSeparator" w:id="0">
    <w:p w14:paraId="244CCF35" w14:textId="77777777" w:rsidR="007B76D3" w:rsidRDefault="007B76D3" w:rsidP="00F6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2C900" w14:textId="77777777" w:rsidR="007B76D3" w:rsidRDefault="007B76D3" w:rsidP="00F62BBE">
      <w:pPr>
        <w:spacing w:after="0" w:line="240" w:lineRule="auto"/>
      </w:pPr>
      <w:r>
        <w:separator/>
      </w:r>
    </w:p>
  </w:footnote>
  <w:footnote w:type="continuationSeparator" w:id="0">
    <w:p w14:paraId="24E104BB" w14:textId="77777777" w:rsidR="007B76D3" w:rsidRDefault="007B76D3" w:rsidP="00F62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BA5"/>
    <w:multiLevelType w:val="hybridMultilevel"/>
    <w:tmpl w:val="DC461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D28D5"/>
    <w:multiLevelType w:val="hybridMultilevel"/>
    <w:tmpl w:val="C4C8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04019D"/>
    <w:multiLevelType w:val="hybridMultilevel"/>
    <w:tmpl w:val="0DA4CEB6"/>
    <w:lvl w:ilvl="0" w:tplc="99B2B43E">
      <w:start w:val="1"/>
      <w:numFmt w:val="bullet"/>
      <w:lvlText w:val=""/>
      <w:lvlJc w:val="left"/>
      <w:pPr>
        <w:ind w:left="720" w:hanging="360"/>
      </w:pPr>
      <w:rPr>
        <w:rFonts w:ascii="Symbol" w:hAnsi="Symbol" w:hint="default"/>
      </w:rPr>
    </w:lvl>
    <w:lvl w:ilvl="1" w:tplc="65CCD19A">
      <w:start w:val="1"/>
      <w:numFmt w:val="bullet"/>
      <w:lvlText w:val="o"/>
      <w:lvlJc w:val="left"/>
      <w:pPr>
        <w:ind w:left="1440" w:hanging="360"/>
      </w:pPr>
      <w:rPr>
        <w:rFonts w:ascii="Courier New" w:hAnsi="Courier New" w:hint="default"/>
      </w:rPr>
    </w:lvl>
    <w:lvl w:ilvl="2" w:tplc="AB7C46C8">
      <w:start w:val="1"/>
      <w:numFmt w:val="bullet"/>
      <w:lvlText w:val=""/>
      <w:lvlJc w:val="left"/>
      <w:pPr>
        <w:ind w:left="2160" w:hanging="360"/>
      </w:pPr>
      <w:rPr>
        <w:rFonts w:ascii="Wingdings" w:hAnsi="Wingdings" w:hint="default"/>
      </w:rPr>
    </w:lvl>
    <w:lvl w:ilvl="3" w:tplc="C68C8BFE">
      <w:start w:val="1"/>
      <w:numFmt w:val="bullet"/>
      <w:lvlText w:val=""/>
      <w:lvlJc w:val="left"/>
      <w:pPr>
        <w:ind w:left="2880" w:hanging="360"/>
      </w:pPr>
      <w:rPr>
        <w:rFonts w:ascii="Symbol" w:hAnsi="Symbol" w:hint="default"/>
      </w:rPr>
    </w:lvl>
    <w:lvl w:ilvl="4" w:tplc="039AA20C">
      <w:start w:val="1"/>
      <w:numFmt w:val="bullet"/>
      <w:lvlText w:val="o"/>
      <w:lvlJc w:val="left"/>
      <w:pPr>
        <w:ind w:left="3600" w:hanging="360"/>
      </w:pPr>
      <w:rPr>
        <w:rFonts w:ascii="Courier New" w:hAnsi="Courier New" w:hint="default"/>
      </w:rPr>
    </w:lvl>
    <w:lvl w:ilvl="5" w:tplc="43DEEEF2">
      <w:start w:val="1"/>
      <w:numFmt w:val="bullet"/>
      <w:lvlText w:val=""/>
      <w:lvlJc w:val="left"/>
      <w:pPr>
        <w:ind w:left="4320" w:hanging="360"/>
      </w:pPr>
      <w:rPr>
        <w:rFonts w:ascii="Wingdings" w:hAnsi="Wingdings" w:hint="default"/>
      </w:rPr>
    </w:lvl>
    <w:lvl w:ilvl="6" w:tplc="519673C6">
      <w:start w:val="1"/>
      <w:numFmt w:val="bullet"/>
      <w:lvlText w:val=""/>
      <w:lvlJc w:val="left"/>
      <w:pPr>
        <w:ind w:left="5040" w:hanging="360"/>
      </w:pPr>
      <w:rPr>
        <w:rFonts w:ascii="Symbol" w:hAnsi="Symbol" w:hint="default"/>
      </w:rPr>
    </w:lvl>
    <w:lvl w:ilvl="7" w:tplc="FCECA7B8">
      <w:start w:val="1"/>
      <w:numFmt w:val="bullet"/>
      <w:lvlText w:val="o"/>
      <w:lvlJc w:val="left"/>
      <w:pPr>
        <w:ind w:left="5760" w:hanging="360"/>
      </w:pPr>
      <w:rPr>
        <w:rFonts w:ascii="Courier New" w:hAnsi="Courier New" w:hint="default"/>
      </w:rPr>
    </w:lvl>
    <w:lvl w:ilvl="8" w:tplc="BC50CBC4">
      <w:start w:val="1"/>
      <w:numFmt w:val="bullet"/>
      <w:lvlText w:val=""/>
      <w:lvlJc w:val="left"/>
      <w:pPr>
        <w:ind w:left="6480" w:hanging="360"/>
      </w:pPr>
      <w:rPr>
        <w:rFonts w:ascii="Wingdings" w:hAnsi="Wingdings" w:hint="default"/>
      </w:rPr>
    </w:lvl>
  </w:abstractNum>
  <w:abstractNum w:abstractNumId="3" w15:restartNumberingAfterBreak="0">
    <w:nsid w:val="3ED41CCC"/>
    <w:multiLevelType w:val="hybridMultilevel"/>
    <w:tmpl w:val="FAA077A8"/>
    <w:lvl w:ilvl="0" w:tplc="EB92F770">
      <w:start w:val="1"/>
      <w:numFmt w:val="bullet"/>
      <w:lvlText w:val=""/>
      <w:lvlJc w:val="left"/>
      <w:pPr>
        <w:ind w:left="720" w:hanging="360"/>
      </w:pPr>
      <w:rPr>
        <w:rFonts w:ascii="Symbol" w:hAnsi="Symbol" w:hint="default"/>
      </w:rPr>
    </w:lvl>
    <w:lvl w:ilvl="1" w:tplc="2452B030">
      <w:start w:val="1"/>
      <w:numFmt w:val="bullet"/>
      <w:lvlText w:val=""/>
      <w:lvlJc w:val="left"/>
      <w:pPr>
        <w:ind w:left="1440" w:hanging="360"/>
      </w:pPr>
      <w:rPr>
        <w:rFonts w:ascii="Symbol" w:hAnsi="Symbol" w:hint="default"/>
      </w:rPr>
    </w:lvl>
    <w:lvl w:ilvl="2" w:tplc="954021B8">
      <w:start w:val="1"/>
      <w:numFmt w:val="bullet"/>
      <w:lvlText w:val=""/>
      <w:lvlJc w:val="left"/>
      <w:pPr>
        <w:ind w:left="2160" w:hanging="360"/>
      </w:pPr>
      <w:rPr>
        <w:rFonts w:ascii="Wingdings" w:hAnsi="Wingdings" w:hint="default"/>
      </w:rPr>
    </w:lvl>
    <w:lvl w:ilvl="3" w:tplc="E81ABDB4">
      <w:start w:val="1"/>
      <w:numFmt w:val="bullet"/>
      <w:lvlText w:val=""/>
      <w:lvlJc w:val="left"/>
      <w:pPr>
        <w:ind w:left="2880" w:hanging="360"/>
      </w:pPr>
      <w:rPr>
        <w:rFonts w:ascii="Symbol" w:hAnsi="Symbol" w:hint="default"/>
      </w:rPr>
    </w:lvl>
    <w:lvl w:ilvl="4" w:tplc="1E2A924E">
      <w:start w:val="1"/>
      <w:numFmt w:val="bullet"/>
      <w:lvlText w:val="o"/>
      <w:lvlJc w:val="left"/>
      <w:pPr>
        <w:ind w:left="3600" w:hanging="360"/>
      </w:pPr>
      <w:rPr>
        <w:rFonts w:ascii="Courier New" w:hAnsi="Courier New" w:hint="default"/>
      </w:rPr>
    </w:lvl>
    <w:lvl w:ilvl="5" w:tplc="4E12585C">
      <w:start w:val="1"/>
      <w:numFmt w:val="bullet"/>
      <w:lvlText w:val=""/>
      <w:lvlJc w:val="left"/>
      <w:pPr>
        <w:ind w:left="4320" w:hanging="360"/>
      </w:pPr>
      <w:rPr>
        <w:rFonts w:ascii="Wingdings" w:hAnsi="Wingdings" w:hint="default"/>
      </w:rPr>
    </w:lvl>
    <w:lvl w:ilvl="6" w:tplc="2F8ECA48">
      <w:start w:val="1"/>
      <w:numFmt w:val="bullet"/>
      <w:lvlText w:val=""/>
      <w:lvlJc w:val="left"/>
      <w:pPr>
        <w:ind w:left="5040" w:hanging="360"/>
      </w:pPr>
      <w:rPr>
        <w:rFonts w:ascii="Symbol" w:hAnsi="Symbol" w:hint="default"/>
      </w:rPr>
    </w:lvl>
    <w:lvl w:ilvl="7" w:tplc="AD588CA6">
      <w:start w:val="1"/>
      <w:numFmt w:val="bullet"/>
      <w:lvlText w:val="o"/>
      <w:lvlJc w:val="left"/>
      <w:pPr>
        <w:ind w:left="5760" w:hanging="360"/>
      </w:pPr>
      <w:rPr>
        <w:rFonts w:ascii="Courier New" w:hAnsi="Courier New" w:hint="default"/>
      </w:rPr>
    </w:lvl>
    <w:lvl w:ilvl="8" w:tplc="1EA617F4">
      <w:start w:val="1"/>
      <w:numFmt w:val="bullet"/>
      <w:lvlText w:val=""/>
      <w:lvlJc w:val="left"/>
      <w:pPr>
        <w:ind w:left="6480" w:hanging="360"/>
      </w:pPr>
      <w:rPr>
        <w:rFonts w:ascii="Wingdings" w:hAnsi="Wingdings" w:hint="default"/>
      </w:rPr>
    </w:lvl>
  </w:abstractNum>
  <w:abstractNum w:abstractNumId="4" w15:restartNumberingAfterBreak="0">
    <w:nsid w:val="43F022E9"/>
    <w:multiLevelType w:val="hybridMultilevel"/>
    <w:tmpl w:val="F7B81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DC5C15"/>
    <w:multiLevelType w:val="hybridMultilevel"/>
    <w:tmpl w:val="40A2FC6E"/>
    <w:lvl w:ilvl="0" w:tplc="8DE2B646">
      <w:start w:val="1"/>
      <w:numFmt w:val="decimalZero"/>
      <w:lvlText w:val="%1."/>
      <w:lvlJc w:val="left"/>
      <w:pPr>
        <w:ind w:left="1150" w:hanging="79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DF513E5"/>
    <w:multiLevelType w:val="hybridMultilevel"/>
    <w:tmpl w:val="EB26A9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2"/>
  </w:num>
  <w:num w:numId="6">
    <w:abstractNumId w:val="4"/>
  </w:num>
  <w:num w:numId="7">
    <w:abstractNumId w:val="1"/>
  </w:num>
  <w:num w:numId="8">
    <w:abstractNumId w:val="4"/>
  </w:num>
  <w:num w:numId="9">
    <w:abstractNumId w:val="1"/>
  </w:num>
  <w:num w:numId="10">
    <w:abstractNumId w:val="4"/>
  </w:num>
  <w:num w:numId="11">
    <w:abstractNumId w:val="1"/>
  </w:num>
  <w:num w:numId="12">
    <w:abstractNumId w:val="4"/>
  </w:num>
  <w:num w:numId="13">
    <w:abstractNumId w:val="1"/>
  </w:num>
  <w:num w:numId="14">
    <w:abstractNumId w:val="4"/>
  </w:num>
  <w:num w:numId="15">
    <w:abstractNumId w:val="1"/>
  </w:num>
  <w:num w:numId="16">
    <w:abstractNumId w:val="4"/>
  </w:num>
  <w:num w:numId="17">
    <w:abstractNumId w:val="1"/>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S Guest">
    <w15:presenceInfo w15:providerId="AD" w15:userId="S::rs.guest@salvationarmy.org::7a60be28-6a4a-465c-acd9-f1e787de9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B1"/>
    <w:rsid w:val="00011543"/>
    <w:rsid w:val="00021A74"/>
    <w:rsid w:val="00031305"/>
    <w:rsid w:val="00034BE1"/>
    <w:rsid w:val="00065BF5"/>
    <w:rsid w:val="000858AF"/>
    <w:rsid w:val="000A1A79"/>
    <w:rsid w:val="000A2C45"/>
    <w:rsid w:val="000A40AB"/>
    <w:rsid w:val="000B2CFA"/>
    <w:rsid w:val="00105905"/>
    <w:rsid w:val="00162583"/>
    <w:rsid w:val="001A55B5"/>
    <w:rsid w:val="001B19C6"/>
    <w:rsid w:val="001D3455"/>
    <w:rsid w:val="001E00B2"/>
    <w:rsid w:val="001E01C4"/>
    <w:rsid w:val="001F6FE3"/>
    <w:rsid w:val="00202F3A"/>
    <w:rsid w:val="00204EAA"/>
    <w:rsid w:val="00211C48"/>
    <w:rsid w:val="00216DFD"/>
    <w:rsid w:val="00253599"/>
    <w:rsid w:val="00264BFB"/>
    <w:rsid w:val="00271373"/>
    <w:rsid w:val="002A0BAC"/>
    <w:rsid w:val="002C4B0D"/>
    <w:rsid w:val="00303C40"/>
    <w:rsid w:val="00322529"/>
    <w:rsid w:val="00332072"/>
    <w:rsid w:val="003652F3"/>
    <w:rsid w:val="00381C8A"/>
    <w:rsid w:val="0039009C"/>
    <w:rsid w:val="003C33F4"/>
    <w:rsid w:val="003C7F21"/>
    <w:rsid w:val="00443A90"/>
    <w:rsid w:val="004512F1"/>
    <w:rsid w:val="00460111"/>
    <w:rsid w:val="004C2242"/>
    <w:rsid w:val="004C34F2"/>
    <w:rsid w:val="00554A01"/>
    <w:rsid w:val="005C1079"/>
    <w:rsid w:val="005F55B6"/>
    <w:rsid w:val="006035D7"/>
    <w:rsid w:val="00627E0A"/>
    <w:rsid w:val="00635FB2"/>
    <w:rsid w:val="00640B90"/>
    <w:rsid w:val="00656BAE"/>
    <w:rsid w:val="006D72C6"/>
    <w:rsid w:val="006F168B"/>
    <w:rsid w:val="00706E5B"/>
    <w:rsid w:val="00710080"/>
    <w:rsid w:val="00721394"/>
    <w:rsid w:val="00737666"/>
    <w:rsid w:val="00747A52"/>
    <w:rsid w:val="00752B93"/>
    <w:rsid w:val="007569C6"/>
    <w:rsid w:val="0076348D"/>
    <w:rsid w:val="007938A5"/>
    <w:rsid w:val="007A59D8"/>
    <w:rsid w:val="007B76D3"/>
    <w:rsid w:val="007D3619"/>
    <w:rsid w:val="007D423A"/>
    <w:rsid w:val="007F7097"/>
    <w:rsid w:val="008176E1"/>
    <w:rsid w:val="00882760"/>
    <w:rsid w:val="008D4B99"/>
    <w:rsid w:val="009752E0"/>
    <w:rsid w:val="00984495"/>
    <w:rsid w:val="00990BDF"/>
    <w:rsid w:val="00995F32"/>
    <w:rsid w:val="009D64B1"/>
    <w:rsid w:val="009E2BB1"/>
    <w:rsid w:val="009F35D0"/>
    <w:rsid w:val="009F4006"/>
    <w:rsid w:val="00A02A09"/>
    <w:rsid w:val="00AB70F0"/>
    <w:rsid w:val="00AD64D0"/>
    <w:rsid w:val="00B065EC"/>
    <w:rsid w:val="00B156FA"/>
    <w:rsid w:val="00B33A01"/>
    <w:rsid w:val="00B740F3"/>
    <w:rsid w:val="00BA15B1"/>
    <w:rsid w:val="00BB765F"/>
    <w:rsid w:val="00BC7B2D"/>
    <w:rsid w:val="00BD5E03"/>
    <w:rsid w:val="00C52593"/>
    <w:rsid w:val="00C53229"/>
    <w:rsid w:val="00C63145"/>
    <w:rsid w:val="00C74920"/>
    <w:rsid w:val="00C74C78"/>
    <w:rsid w:val="00C77BE2"/>
    <w:rsid w:val="00C92460"/>
    <w:rsid w:val="00CC0348"/>
    <w:rsid w:val="00CC0A15"/>
    <w:rsid w:val="00CF1119"/>
    <w:rsid w:val="00CF3C81"/>
    <w:rsid w:val="00D07080"/>
    <w:rsid w:val="00D3494E"/>
    <w:rsid w:val="00D51669"/>
    <w:rsid w:val="00D60A39"/>
    <w:rsid w:val="00D97E9B"/>
    <w:rsid w:val="00DE5D51"/>
    <w:rsid w:val="00E457D4"/>
    <w:rsid w:val="00EC12E1"/>
    <w:rsid w:val="00EC1C89"/>
    <w:rsid w:val="00EC47C8"/>
    <w:rsid w:val="00ED4C8C"/>
    <w:rsid w:val="00EF56E1"/>
    <w:rsid w:val="00F0283C"/>
    <w:rsid w:val="00F03D74"/>
    <w:rsid w:val="00F2563D"/>
    <w:rsid w:val="00F61BD7"/>
    <w:rsid w:val="00F62BBE"/>
    <w:rsid w:val="00F86AD9"/>
    <w:rsid w:val="00FC5739"/>
    <w:rsid w:val="00FD6187"/>
    <w:rsid w:val="00FE4215"/>
    <w:rsid w:val="05E0E166"/>
    <w:rsid w:val="0A679121"/>
    <w:rsid w:val="0C1F9DB0"/>
    <w:rsid w:val="195BC169"/>
    <w:rsid w:val="19E5F748"/>
    <w:rsid w:val="1A3D9835"/>
    <w:rsid w:val="213EB7CF"/>
    <w:rsid w:val="279E245A"/>
    <w:rsid w:val="2CD78C78"/>
    <w:rsid w:val="30A9EDAF"/>
    <w:rsid w:val="321379E4"/>
    <w:rsid w:val="32D0D880"/>
    <w:rsid w:val="362E9EE1"/>
    <w:rsid w:val="3CAAB45F"/>
    <w:rsid w:val="43BEA8FE"/>
    <w:rsid w:val="46F080CE"/>
    <w:rsid w:val="489C1515"/>
    <w:rsid w:val="492C8D39"/>
    <w:rsid w:val="547C2D8E"/>
    <w:rsid w:val="5DD5129A"/>
    <w:rsid w:val="605A365D"/>
    <w:rsid w:val="63FFDAE5"/>
    <w:rsid w:val="75318BA5"/>
    <w:rsid w:val="7E35ADB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FD56C"/>
  <w15:chartTrackingRefBased/>
  <w15:docId w15:val="{9EDE6597-7C2C-473F-B6FA-964562CC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5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15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B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15B1"/>
    <w:pPr>
      <w:ind w:left="720"/>
      <w:contextualSpacing/>
    </w:pPr>
  </w:style>
  <w:style w:type="character" w:customStyle="1" w:styleId="Heading1Char">
    <w:name w:val="Heading 1 Char"/>
    <w:basedOn w:val="DefaultParagraphFont"/>
    <w:link w:val="Heading1"/>
    <w:uiPriority w:val="9"/>
    <w:rsid w:val="00BA15B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02A09"/>
    <w:rPr>
      <w:sz w:val="16"/>
      <w:szCs w:val="16"/>
    </w:rPr>
  </w:style>
  <w:style w:type="paragraph" w:styleId="CommentText">
    <w:name w:val="annotation text"/>
    <w:basedOn w:val="Normal"/>
    <w:link w:val="CommentTextChar"/>
    <w:uiPriority w:val="99"/>
    <w:semiHidden/>
    <w:unhideWhenUsed/>
    <w:rsid w:val="00A02A09"/>
    <w:pPr>
      <w:spacing w:line="240" w:lineRule="auto"/>
    </w:pPr>
    <w:rPr>
      <w:sz w:val="20"/>
      <w:szCs w:val="20"/>
    </w:rPr>
  </w:style>
  <w:style w:type="character" w:customStyle="1" w:styleId="CommentTextChar">
    <w:name w:val="Comment Text Char"/>
    <w:basedOn w:val="DefaultParagraphFont"/>
    <w:link w:val="CommentText"/>
    <w:uiPriority w:val="99"/>
    <w:semiHidden/>
    <w:rsid w:val="00A02A09"/>
    <w:rPr>
      <w:sz w:val="20"/>
      <w:szCs w:val="20"/>
    </w:rPr>
  </w:style>
  <w:style w:type="paragraph" w:styleId="CommentSubject">
    <w:name w:val="annotation subject"/>
    <w:basedOn w:val="CommentText"/>
    <w:next w:val="CommentText"/>
    <w:link w:val="CommentSubjectChar"/>
    <w:uiPriority w:val="99"/>
    <w:semiHidden/>
    <w:unhideWhenUsed/>
    <w:rsid w:val="00A02A09"/>
    <w:rPr>
      <w:b/>
      <w:bCs/>
    </w:rPr>
  </w:style>
  <w:style w:type="character" w:customStyle="1" w:styleId="CommentSubjectChar">
    <w:name w:val="Comment Subject Char"/>
    <w:basedOn w:val="CommentTextChar"/>
    <w:link w:val="CommentSubject"/>
    <w:uiPriority w:val="99"/>
    <w:semiHidden/>
    <w:rsid w:val="00A02A09"/>
    <w:rPr>
      <w:b/>
      <w:bCs/>
      <w:sz w:val="20"/>
      <w:szCs w:val="20"/>
    </w:rPr>
  </w:style>
  <w:style w:type="paragraph" w:styleId="BalloonText">
    <w:name w:val="Balloon Text"/>
    <w:basedOn w:val="Normal"/>
    <w:link w:val="BalloonTextChar"/>
    <w:uiPriority w:val="99"/>
    <w:semiHidden/>
    <w:unhideWhenUsed/>
    <w:rsid w:val="00A02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A09"/>
    <w:rPr>
      <w:rFonts w:ascii="Segoe UI" w:hAnsi="Segoe UI" w:cs="Segoe UI"/>
      <w:sz w:val="18"/>
      <w:szCs w:val="18"/>
    </w:rPr>
  </w:style>
  <w:style w:type="paragraph" w:styleId="Header">
    <w:name w:val="header"/>
    <w:basedOn w:val="Normal"/>
    <w:link w:val="HeaderChar"/>
    <w:uiPriority w:val="99"/>
    <w:unhideWhenUsed/>
    <w:rsid w:val="00F62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BBE"/>
  </w:style>
  <w:style w:type="paragraph" w:styleId="Footer">
    <w:name w:val="footer"/>
    <w:basedOn w:val="Normal"/>
    <w:link w:val="FooterChar"/>
    <w:uiPriority w:val="99"/>
    <w:unhideWhenUsed/>
    <w:rsid w:val="00F62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BB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04DD7EA62E49A69947A5B4244592" ma:contentTypeVersion="2" ma:contentTypeDescription="Create a new document." ma:contentTypeScope="" ma:versionID="c665ce15f33fe42dbfbf506d88f6bf91">
  <xsd:schema xmlns:xsd="http://www.w3.org/2001/XMLSchema" xmlns:xs="http://www.w3.org/2001/XMLSchema" xmlns:p="http://schemas.microsoft.com/office/2006/metadata/properties" xmlns:ns2="84330bda-cfaa-4598-a877-56925fdce4b5" targetNamespace="http://schemas.microsoft.com/office/2006/metadata/properties" ma:root="true" ma:fieldsID="14fc647f141377d5466954194e08349f" ns2:_="">
    <xsd:import namespace="84330bda-cfaa-4598-a877-56925fdce4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0bda-cfaa-4598-a877-56925fdce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2A222-12C1-443B-870F-048538786EB1}"/>
</file>

<file path=customXml/itemProps2.xml><?xml version="1.0" encoding="utf-8"?>
<ds:datastoreItem xmlns:ds="http://schemas.openxmlformats.org/officeDocument/2006/customXml" ds:itemID="{78260FC0-6875-4E16-B447-7B563885D3DC}">
  <ds:schemaRefs>
    <ds:schemaRef ds:uri="http://schemas.microsoft.com/office/2006/metadata/properties"/>
    <ds:schemaRef ds:uri="http://schemas.microsoft.com/office/infopath/2007/PartnerControls"/>
    <ds:schemaRef ds:uri="42b66ef7-f1e5-478c-a4c9-fd71e056d377"/>
  </ds:schemaRefs>
</ds:datastoreItem>
</file>

<file path=customXml/itemProps3.xml><?xml version="1.0" encoding="utf-8"?>
<ds:datastoreItem xmlns:ds="http://schemas.openxmlformats.org/officeDocument/2006/customXml" ds:itemID="{17D2790F-9E10-43E3-BC5F-3629BFC76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Bennett</dc:creator>
  <cp:keywords/>
  <dc:description/>
  <cp:lastModifiedBy>Mark Bennett</cp:lastModifiedBy>
  <cp:revision>112</cp:revision>
  <dcterms:created xsi:type="dcterms:W3CDTF">2018-08-02T21:00:00Z</dcterms:created>
  <dcterms:modified xsi:type="dcterms:W3CDTF">2019-10-29T18:05:00Z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0x010100866B04DD7EA62E49A69947A5B4244592</vt:lpwstr>
  </property>
</Properties>
</file>