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A2F" w:rsidRPr="000B4A2F" w:rsidRDefault="000B4A2F" w:rsidP="000B4A2F">
      <w:pPr>
        <w:jc w:val="center"/>
        <w:rPr>
          <w:sz w:val="28"/>
          <w:u w:val="single"/>
        </w:rPr>
      </w:pPr>
      <w:proofErr w:type="spellStart"/>
      <w:r w:rsidRPr="000B4A2F">
        <w:rPr>
          <w:sz w:val="28"/>
          <w:u w:val="single"/>
        </w:rPr>
        <w:t>Whats</w:t>
      </w:r>
      <w:proofErr w:type="spellEnd"/>
      <w:r w:rsidRPr="000B4A2F">
        <w:rPr>
          <w:sz w:val="28"/>
          <w:u w:val="single"/>
        </w:rPr>
        <w:t xml:space="preserve"> </w:t>
      </w:r>
      <w:proofErr w:type="gramStart"/>
      <w:r w:rsidRPr="000B4A2F">
        <w:rPr>
          <w:sz w:val="28"/>
          <w:u w:val="single"/>
        </w:rPr>
        <w:t>Up</w:t>
      </w:r>
      <w:proofErr w:type="gramEnd"/>
      <w:r w:rsidRPr="000B4A2F">
        <w:rPr>
          <w:sz w:val="28"/>
          <w:u w:val="single"/>
        </w:rPr>
        <w:t xml:space="preserve"> </w:t>
      </w:r>
      <w:r>
        <w:rPr>
          <w:sz w:val="28"/>
          <w:u w:val="single"/>
        </w:rPr>
        <w:t>– October 21, 2019</w:t>
      </w:r>
    </w:p>
    <w:p w:rsidR="00E01054" w:rsidRPr="00E01054" w:rsidRDefault="00E01054">
      <w:pPr>
        <w:rPr>
          <w:b/>
          <w:sz w:val="28"/>
          <w:u w:val="single"/>
        </w:rPr>
      </w:pPr>
      <w:r w:rsidRPr="00E01054">
        <w:rPr>
          <w:b/>
          <w:sz w:val="28"/>
          <w:u w:val="single"/>
        </w:rPr>
        <w:t>FHA</w:t>
      </w:r>
    </w:p>
    <w:p w:rsidR="00E01054" w:rsidRDefault="00E01054">
      <w:r w:rsidRPr="00E01054">
        <w:t>FHA announced</w:t>
      </w:r>
      <w:r w:rsidR="000B4A2F">
        <w:t xml:space="preserve"> the </w:t>
      </w:r>
      <w:r w:rsidRPr="00E01054">
        <w:t>update to their Condo guidelines, including a new condo section of the 4000.1 manual.  As announced in FHA INFO #19-41, new condo project approval requirements are effective for case number assignments as of October 15, 2019.</w:t>
      </w:r>
    </w:p>
    <w:p w:rsidR="00E01054" w:rsidRDefault="00E01054">
      <w:r>
        <w:t xml:space="preserve">FHA announced </w:t>
      </w:r>
      <w:r w:rsidR="000B4A2F">
        <w:t xml:space="preserve">that </w:t>
      </w:r>
      <w:r w:rsidR="000B4A2F" w:rsidRPr="00E01054">
        <w:t>a</w:t>
      </w:r>
      <w:r w:rsidRPr="00E01054">
        <w:t xml:space="preserve"> pre-recorded version of the call </w:t>
      </w:r>
      <w:r>
        <w:t xml:space="preserve">outlining the changes </w:t>
      </w:r>
      <w:r w:rsidRPr="00E01054">
        <w:t>is now available on their site.</w:t>
      </w:r>
    </w:p>
    <w:p w:rsidR="00E01054" w:rsidRPr="00E01054" w:rsidRDefault="00E01054" w:rsidP="00E47845">
      <w:pPr>
        <w:spacing w:after="0"/>
      </w:pPr>
      <w:r w:rsidRPr="00E01054">
        <w:t>Following are the links for the Condominium Webinars:</w:t>
      </w:r>
    </w:p>
    <w:p w:rsidR="00E01054" w:rsidRPr="00E01054" w:rsidRDefault="00E01054" w:rsidP="00E47845">
      <w:pPr>
        <w:numPr>
          <w:ilvl w:val="0"/>
          <w:numId w:val="1"/>
        </w:numPr>
        <w:spacing w:after="0"/>
      </w:pPr>
      <w:r w:rsidRPr="00E01054">
        <w:t>Module 2C1: FHA Condo Approval  – Condo Project Approval: </w:t>
      </w:r>
      <w:hyperlink r:id="rId5" w:tgtFrame="_blank" w:history="1">
        <w:r w:rsidRPr="00E01054">
          <w:rPr>
            <w:rStyle w:val="Hyperlink"/>
          </w:rPr>
          <w:t>Module2C1-CondoProjectApproval</w:t>
        </w:r>
      </w:hyperlink>
    </w:p>
    <w:p w:rsidR="00E01054" w:rsidRPr="00E01054" w:rsidRDefault="00E01054" w:rsidP="00983E3D">
      <w:pPr>
        <w:numPr>
          <w:ilvl w:val="0"/>
          <w:numId w:val="1"/>
        </w:numPr>
        <w:spacing w:after="0"/>
      </w:pPr>
      <w:r w:rsidRPr="00E01054">
        <w:t>Module 2C2: FHA Condo Approval – Mortgagee Direct Endorsement Lender Review and Process (DELRAP) Authority Requirements: </w:t>
      </w:r>
      <w:hyperlink r:id="rId6" w:tgtFrame="_blank" w:history="1">
        <w:r w:rsidRPr="00E01054">
          <w:rPr>
            <w:rStyle w:val="Hyperlink"/>
          </w:rPr>
          <w:t>Module2C2-MortgageeDELRAPAuthorityRequirements</w:t>
        </w:r>
      </w:hyperlink>
    </w:p>
    <w:p w:rsidR="00E01054" w:rsidRPr="00E01054" w:rsidRDefault="00E01054" w:rsidP="00983E3D">
      <w:pPr>
        <w:numPr>
          <w:ilvl w:val="0"/>
          <w:numId w:val="1"/>
        </w:numPr>
        <w:spacing w:after="0"/>
      </w:pPr>
      <w:r w:rsidRPr="00E01054">
        <w:t>Module 2C4: FHA Condo Approval – Underwriting Condominium Loans: </w:t>
      </w:r>
      <w:hyperlink r:id="rId7" w:tgtFrame="_blank" w:history="1">
        <w:r w:rsidRPr="00E01054">
          <w:rPr>
            <w:rStyle w:val="Hyperlink"/>
          </w:rPr>
          <w:t>Module2C4-UnderwritingCondominiumLoan</w:t>
        </w:r>
      </w:hyperlink>
    </w:p>
    <w:p w:rsidR="00E01054" w:rsidRPr="00E01054" w:rsidRDefault="00E01054">
      <w:pPr>
        <w:rPr>
          <w:b/>
          <w:sz w:val="28"/>
          <w:u w:val="single"/>
        </w:rPr>
      </w:pPr>
      <w:r w:rsidRPr="00E01054">
        <w:rPr>
          <w:b/>
          <w:sz w:val="28"/>
          <w:u w:val="single"/>
        </w:rPr>
        <w:t>FNMA</w:t>
      </w:r>
    </w:p>
    <w:p w:rsidR="00E01054" w:rsidRPr="00E01054" w:rsidRDefault="00E01054" w:rsidP="00E01054">
      <w:r w:rsidRPr="00E01054">
        <w:t xml:space="preserve">Fannie Mae is updating their selling guide for </w:t>
      </w:r>
      <w:r w:rsidR="008D5002">
        <w:t xml:space="preserve">a variety of topics. </w:t>
      </w:r>
    </w:p>
    <w:p w:rsidR="00E01054" w:rsidRPr="00E01054" w:rsidRDefault="00E01054" w:rsidP="008D5002">
      <w:pPr>
        <w:spacing w:after="0"/>
      </w:pPr>
      <w:r w:rsidRPr="00E01054">
        <w:t>The updates announced in this Selling Guide Announcement are:</w:t>
      </w:r>
    </w:p>
    <w:p w:rsidR="00E01054" w:rsidRPr="00E01054" w:rsidRDefault="00E01054" w:rsidP="008D5002">
      <w:pPr>
        <w:numPr>
          <w:ilvl w:val="0"/>
          <w:numId w:val="2"/>
        </w:numPr>
        <w:spacing w:after="0"/>
      </w:pPr>
      <w:r w:rsidRPr="00E01054">
        <w:t>Homeownership Education Requests</w:t>
      </w:r>
    </w:p>
    <w:p w:rsidR="00E01054" w:rsidRPr="00E01054" w:rsidRDefault="00E01054" w:rsidP="008D5002">
      <w:pPr>
        <w:numPr>
          <w:ilvl w:val="0"/>
          <w:numId w:val="2"/>
        </w:numPr>
        <w:spacing w:after="0"/>
      </w:pPr>
      <w:r w:rsidRPr="00E01054">
        <w:t>Employment Offers and Contracts</w:t>
      </w:r>
    </w:p>
    <w:p w:rsidR="00E01054" w:rsidRPr="00E01054" w:rsidRDefault="00E01054" w:rsidP="008D5002">
      <w:pPr>
        <w:numPr>
          <w:ilvl w:val="0"/>
          <w:numId w:val="2"/>
        </w:numPr>
        <w:spacing w:after="0"/>
      </w:pPr>
      <w:r w:rsidRPr="00E01054">
        <w:t>Rental Income Policy</w:t>
      </w:r>
    </w:p>
    <w:p w:rsidR="00E01054" w:rsidRPr="00E01054" w:rsidRDefault="00E01054" w:rsidP="008D5002">
      <w:pPr>
        <w:numPr>
          <w:ilvl w:val="0"/>
          <w:numId w:val="2"/>
        </w:numPr>
        <w:spacing w:after="0"/>
      </w:pPr>
      <w:r w:rsidRPr="00E01054">
        <w:t>Reporting Anti-Money Laundering Activity</w:t>
      </w:r>
    </w:p>
    <w:p w:rsidR="00E01054" w:rsidRPr="00E01054" w:rsidRDefault="00E01054" w:rsidP="008D5002">
      <w:pPr>
        <w:numPr>
          <w:ilvl w:val="0"/>
          <w:numId w:val="2"/>
        </w:numPr>
        <w:spacing w:after="0"/>
      </w:pPr>
      <w:r w:rsidRPr="00E01054">
        <w:t>Miscellaneous Selling Guide Updates</w:t>
      </w:r>
    </w:p>
    <w:p w:rsidR="00E01054" w:rsidRPr="00E01054" w:rsidRDefault="00E01054" w:rsidP="008D5002">
      <w:pPr>
        <w:numPr>
          <w:ilvl w:val="1"/>
          <w:numId w:val="2"/>
        </w:numPr>
        <w:spacing w:after="0"/>
      </w:pPr>
      <w:r w:rsidRPr="00E01054">
        <w:t>B2-1.3-02, Adjustable-Rate Mortgages (ARMs)</w:t>
      </w:r>
    </w:p>
    <w:p w:rsidR="00E01054" w:rsidRDefault="00E01054" w:rsidP="008D5002">
      <w:pPr>
        <w:numPr>
          <w:ilvl w:val="1"/>
          <w:numId w:val="2"/>
        </w:numPr>
        <w:spacing w:after="0"/>
      </w:pPr>
      <w:r w:rsidRPr="00E01054">
        <w:t>B3-6-05, Monthly Debt Obligations</w:t>
      </w:r>
    </w:p>
    <w:p w:rsidR="00AA31B3" w:rsidRDefault="00AA31B3" w:rsidP="00AA31B3">
      <w:pPr>
        <w:spacing w:after="0"/>
      </w:pPr>
      <w:r>
        <w:t xml:space="preserve">Find the full announcement – SEL – 2019-08 – </w:t>
      </w:r>
      <w:hyperlink r:id="rId8" w:history="1">
        <w:r w:rsidRPr="00AA31B3">
          <w:rPr>
            <w:rStyle w:val="Hyperlink"/>
          </w:rPr>
          <w:t>CLICK HERE</w:t>
        </w:r>
      </w:hyperlink>
      <w:r>
        <w:t xml:space="preserve"> </w:t>
      </w:r>
    </w:p>
    <w:p w:rsidR="00E01054" w:rsidRDefault="008D5002">
      <w:r w:rsidRPr="008D5002">
        <w:t>Fannie Mae eliminates the cost of homeownership education! Effective October 23, 2019.</w:t>
      </w:r>
    </w:p>
    <w:p w:rsidR="00983E3D" w:rsidRDefault="00983E3D" w:rsidP="00983E3D">
      <w:pPr>
        <w:rPr>
          <w:rFonts w:ascii="Arial" w:hAnsi="Arial"/>
          <w:b/>
          <w:u w:val="single"/>
        </w:rPr>
      </w:pPr>
      <w:r>
        <w:rPr>
          <w:rFonts w:ascii="Arial" w:hAnsi="Arial"/>
          <w:b/>
          <w:u w:val="single"/>
        </w:rPr>
        <w:t>FHLMC</w:t>
      </w:r>
    </w:p>
    <w:p w:rsidR="00983E3D" w:rsidRDefault="00983E3D" w:rsidP="00983E3D">
      <w:pPr>
        <w:rPr>
          <w:rFonts w:ascii="Arial" w:hAnsi="Arial"/>
        </w:rPr>
      </w:pPr>
      <w:r>
        <w:rPr>
          <w:rFonts w:ascii="Arial" w:hAnsi="Arial"/>
        </w:rPr>
        <w:t xml:space="preserve">Freddie Mac Bulletin – 2019-17 includes updates on a variety of topics with different due dates.    </w:t>
      </w:r>
    </w:p>
    <w:p w:rsidR="00983E3D" w:rsidRDefault="00983E3D" w:rsidP="00983E3D">
      <w:pPr>
        <w:rPr>
          <w:rFonts w:ascii="Arial" w:hAnsi="Arial"/>
        </w:rPr>
      </w:pPr>
      <w:r>
        <w:rPr>
          <w:rFonts w:ascii="Arial" w:hAnsi="Arial"/>
        </w:rPr>
        <w:t xml:space="preserve">The updates announced in this Selling Bulletin include: </w:t>
      </w:r>
    </w:p>
    <w:p w:rsidR="00983E3D" w:rsidRDefault="00983E3D" w:rsidP="00983E3D">
      <w:pPr>
        <w:numPr>
          <w:ilvl w:val="0"/>
          <w:numId w:val="3"/>
        </w:numPr>
        <w:spacing w:after="0" w:line="240" w:lineRule="auto"/>
        <w:rPr>
          <w:rFonts w:ascii="Arial" w:hAnsi="Arial"/>
        </w:rPr>
      </w:pPr>
      <w:r>
        <w:rPr>
          <w:rFonts w:ascii="Arial" w:hAnsi="Arial"/>
        </w:rPr>
        <w:t xml:space="preserve">Escrow Accounts- effective Nov 7, 2019 </w:t>
      </w:r>
    </w:p>
    <w:p w:rsidR="00983E3D" w:rsidRDefault="00983E3D" w:rsidP="00983E3D">
      <w:pPr>
        <w:numPr>
          <w:ilvl w:val="0"/>
          <w:numId w:val="3"/>
        </w:numPr>
        <w:spacing w:after="0" w:line="240" w:lineRule="auto"/>
        <w:rPr>
          <w:rFonts w:ascii="Arial" w:hAnsi="Arial"/>
        </w:rPr>
      </w:pPr>
      <w:r>
        <w:rPr>
          <w:rFonts w:ascii="Arial" w:hAnsi="Arial"/>
        </w:rPr>
        <w:t xml:space="preserve">Mortgages Made Pursuant to Employee Relocation Programs – New Flexibilities under certain conditions </w:t>
      </w:r>
    </w:p>
    <w:p w:rsidR="00983E3D" w:rsidRDefault="00983E3D" w:rsidP="00983E3D">
      <w:pPr>
        <w:numPr>
          <w:ilvl w:val="0"/>
          <w:numId w:val="3"/>
        </w:numPr>
        <w:spacing w:after="0" w:line="240" w:lineRule="auto"/>
        <w:rPr>
          <w:rFonts w:ascii="Arial" w:hAnsi="Arial"/>
        </w:rPr>
      </w:pPr>
      <w:r>
        <w:rPr>
          <w:rFonts w:ascii="Arial" w:hAnsi="Arial"/>
        </w:rPr>
        <w:t>Property Eligibility for Manufactured Homes</w:t>
      </w:r>
    </w:p>
    <w:p w:rsidR="00983E3D" w:rsidRDefault="00983E3D" w:rsidP="00983E3D">
      <w:pPr>
        <w:numPr>
          <w:ilvl w:val="0"/>
          <w:numId w:val="3"/>
        </w:numPr>
        <w:spacing w:after="0" w:line="240" w:lineRule="auto"/>
        <w:rPr>
          <w:rFonts w:ascii="Arial" w:hAnsi="Arial"/>
        </w:rPr>
      </w:pPr>
      <w:r>
        <w:rPr>
          <w:rFonts w:ascii="Arial" w:hAnsi="Arial"/>
        </w:rPr>
        <w:t xml:space="preserve">Properties Located in Eligible Disaster Areas – Effective October 27, 2019 </w:t>
      </w:r>
    </w:p>
    <w:p w:rsidR="00983E3D" w:rsidRDefault="00983E3D" w:rsidP="00983E3D">
      <w:pPr>
        <w:rPr>
          <w:rFonts w:ascii="Arial" w:hAnsi="Arial"/>
        </w:rPr>
      </w:pPr>
    </w:p>
    <w:p w:rsidR="00983E3D" w:rsidRDefault="00983E3D" w:rsidP="00983E3D">
      <w:pPr>
        <w:rPr>
          <w:rFonts w:ascii="Arial" w:hAnsi="Arial"/>
        </w:rPr>
      </w:pPr>
      <w:hyperlink r:id="rId9" w:history="1">
        <w:r>
          <w:rPr>
            <w:rStyle w:val="Hyperlink"/>
            <w:rFonts w:ascii="Arial" w:hAnsi="Arial"/>
          </w:rPr>
          <w:t>Click here</w:t>
        </w:r>
      </w:hyperlink>
      <w:r>
        <w:rPr>
          <w:rFonts w:ascii="Arial" w:hAnsi="Arial"/>
        </w:rPr>
        <w:t xml:space="preserve"> to read the full Bulletin OR watch the </w:t>
      </w:r>
      <w:r>
        <w:rPr>
          <w:rFonts w:ascii="Arial" w:hAnsi="Arial"/>
          <w:u w:val="single"/>
        </w:rPr>
        <w:t>video</w:t>
      </w:r>
      <w:r>
        <w:rPr>
          <w:rFonts w:ascii="Arial" w:hAnsi="Arial"/>
        </w:rPr>
        <w:t xml:space="preserve"> that summarizes it for you!  </w:t>
      </w:r>
    </w:p>
    <w:p w:rsidR="00AA31B3" w:rsidRPr="00AA31B3" w:rsidRDefault="00AA31B3">
      <w:pPr>
        <w:rPr>
          <w:b/>
          <w:sz w:val="28"/>
          <w:u w:val="single"/>
        </w:rPr>
      </w:pPr>
      <w:r w:rsidRPr="00AA31B3">
        <w:rPr>
          <w:b/>
          <w:sz w:val="28"/>
          <w:u w:val="single"/>
        </w:rPr>
        <w:t>USDA</w:t>
      </w:r>
    </w:p>
    <w:p w:rsidR="00AA31B3" w:rsidRPr="00AA31B3" w:rsidRDefault="00AA31B3" w:rsidP="00E47845">
      <w:pPr>
        <w:spacing w:after="0"/>
        <w:rPr>
          <w:b/>
          <w:bCs/>
        </w:rPr>
      </w:pPr>
      <w:r w:rsidRPr="00AA31B3">
        <w:rPr>
          <w:b/>
          <w:bCs/>
        </w:rPr>
        <w:t>Fiscal Year 2020 SFH Guaranteed Funds Now Available</w:t>
      </w:r>
    </w:p>
    <w:p w:rsidR="00AA31B3" w:rsidRPr="00AA31B3" w:rsidRDefault="00AA31B3" w:rsidP="00E47845">
      <w:pPr>
        <w:spacing w:after="0"/>
      </w:pPr>
      <w:r w:rsidRPr="00AA31B3">
        <w:t>Fiscal Year (FY) 2020 funding for Rural Development’s Single Family Housing Guaranteed Loan Program is now available. The funding is authorized by the Continuing Appropriations Act, 2020, and Health Extenders Act of 2019, (</w:t>
      </w:r>
      <w:hyperlink r:id="rId10" w:tgtFrame="_blank" w:history="1">
        <w:r w:rsidRPr="00AA31B3">
          <w:rPr>
            <w:rStyle w:val="Hyperlink"/>
          </w:rPr>
          <w:t>P.L. 116-59, H.R. 4378</w:t>
        </w:r>
      </w:hyperlink>
      <w:r w:rsidRPr="00AA31B3">
        <w:t>).</w:t>
      </w:r>
    </w:p>
    <w:p w:rsidR="000B4A2F" w:rsidRPr="000B4A2F" w:rsidRDefault="000B4A2F">
      <w:pPr>
        <w:rPr>
          <w:b/>
          <w:sz w:val="28"/>
          <w:u w:val="single"/>
        </w:rPr>
      </w:pPr>
      <w:r w:rsidRPr="000B4A2F">
        <w:rPr>
          <w:b/>
          <w:sz w:val="28"/>
          <w:u w:val="single"/>
        </w:rPr>
        <w:t xml:space="preserve">VA </w:t>
      </w:r>
    </w:p>
    <w:p w:rsidR="00AA31B3" w:rsidRDefault="000B4A2F">
      <w:proofErr w:type="gramStart"/>
      <w:r>
        <w:t>no</w:t>
      </w:r>
      <w:proofErr w:type="gramEnd"/>
      <w:r>
        <w:t xml:space="preserve"> updates at this time </w:t>
      </w:r>
      <w:bookmarkStart w:id="0" w:name="_GoBack"/>
      <w:bookmarkEnd w:id="0"/>
    </w:p>
    <w:sectPr w:rsidR="00AA31B3" w:rsidSect="000B4A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53A"/>
    <w:multiLevelType w:val="multilevel"/>
    <w:tmpl w:val="4B36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44803"/>
    <w:multiLevelType w:val="multilevel"/>
    <w:tmpl w:val="992EE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64207"/>
    <w:multiLevelType w:val="multilevel"/>
    <w:tmpl w:val="96C0C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54"/>
    <w:rsid w:val="000B4A2F"/>
    <w:rsid w:val="00461883"/>
    <w:rsid w:val="008D5002"/>
    <w:rsid w:val="00983E3D"/>
    <w:rsid w:val="00AA31B3"/>
    <w:rsid w:val="00D976C7"/>
    <w:rsid w:val="00E01054"/>
    <w:rsid w:val="00E4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C481B-DD87-4000-8B52-55FEAF70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0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2929">
      <w:bodyDiv w:val="1"/>
      <w:marLeft w:val="0"/>
      <w:marRight w:val="0"/>
      <w:marTop w:val="0"/>
      <w:marBottom w:val="0"/>
      <w:divBdr>
        <w:top w:val="none" w:sz="0" w:space="0" w:color="auto"/>
        <w:left w:val="none" w:sz="0" w:space="0" w:color="auto"/>
        <w:bottom w:val="none" w:sz="0" w:space="0" w:color="auto"/>
        <w:right w:val="none" w:sz="0" w:space="0" w:color="auto"/>
      </w:divBdr>
    </w:div>
    <w:div w:id="631254843">
      <w:bodyDiv w:val="1"/>
      <w:marLeft w:val="0"/>
      <w:marRight w:val="0"/>
      <w:marTop w:val="0"/>
      <w:marBottom w:val="0"/>
      <w:divBdr>
        <w:top w:val="none" w:sz="0" w:space="0" w:color="auto"/>
        <w:left w:val="none" w:sz="0" w:space="0" w:color="auto"/>
        <w:bottom w:val="none" w:sz="0" w:space="0" w:color="auto"/>
        <w:right w:val="none" w:sz="0" w:space="0" w:color="auto"/>
      </w:divBdr>
    </w:div>
    <w:div w:id="1264806005">
      <w:bodyDiv w:val="1"/>
      <w:marLeft w:val="0"/>
      <w:marRight w:val="0"/>
      <w:marTop w:val="0"/>
      <w:marBottom w:val="0"/>
      <w:divBdr>
        <w:top w:val="none" w:sz="0" w:space="0" w:color="auto"/>
        <w:left w:val="none" w:sz="0" w:space="0" w:color="auto"/>
        <w:bottom w:val="none" w:sz="0" w:space="0" w:color="auto"/>
        <w:right w:val="none" w:sz="0" w:space="0" w:color="auto"/>
      </w:divBdr>
    </w:div>
    <w:div w:id="1265264637">
      <w:bodyDiv w:val="1"/>
      <w:marLeft w:val="0"/>
      <w:marRight w:val="0"/>
      <w:marTop w:val="0"/>
      <w:marBottom w:val="0"/>
      <w:divBdr>
        <w:top w:val="none" w:sz="0" w:space="0" w:color="auto"/>
        <w:left w:val="none" w:sz="0" w:space="0" w:color="auto"/>
        <w:bottom w:val="none" w:sz="0" w:space="0" w:color="auto"/>
        <w:right w:val="none" w:sz="0" w:space="0" w:color="auto"/>
      </w:divBdr>
    </w:div>
    <w:div w:id="1389065813">
      <w:bodyDiv w:val="1"/>
      <w:marLeft w:val="0"/>
      <w:marRight w:val="0"/>
      <w:marTop w:val="0"/>
      <w:marBottom w:val="0"/>
      <w:divBdr>
        <w:top w:val="none" w:sz="0" w:space="0" w:color="auto"/>
        <w:left w:val="none" w:sz="0" w:space="0" w:color="auto"/>
        <w:bottom w:val="none" w:sz="0" w:space="0" w:color="auto"/>
        <w:right w:val="none" w:sz="0" w:space="0" w:color="auto"/>
      </w:divBdr>
    </w:div>
    <w:div w:id="1574465546">
      <w:bodyDiv w:val="1"/>
      <w:marLeft w:val="0"/>
      <w:marRight w:val="0"/>
      <w:marTop w:val="0"/>
      <w:marBottom w:val="0"/>
      <w:divBdr>
        <w:top w:val="none" w:sz="0" w:space="0" w:color="auto"/>
        <w:left w:val="none" w:sz="0" w:space="0" w:color="auto"/>
        <w:bottom w:val="none" w:sz="0" w:space="0" w:color="auto"/>
        <w:right w:val="none" w:sz="0" w:space="0" w:color="auto"/>
      </w:divBdr>
    </w:div>
    <w:div w:id="16949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nniemae.com/content/announcement/sel1908.pdf" TargetMode="External"/><Relationship Id="rId3" Type="http://schemas.openxmlformats.org/officeDocument/2006/relationships/settings" Target="settings.xml"/><Relationship Id="rId7" Type="http://schemas.openxmlformats.org/officeDocument/2006/relationships/hyperlink" Target="http://easthillmedia.com/home/hud3236799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asthillmedia.com/home/hud872372010/" TargetMode="External"/><Relationship Id="rId11" Type="http://schemas.openxmlformats.org/officeDocument/2006/relationships/fontTable" Target="fontTable.xml"/><Relationship Id="rId5" Type="http://schemas.openxmlformats.org/officeDocument/2006/relationships/hyperlink" Target="http://easthillmedia.com/home/hud236813424" TargetMode="External"/><Relationship Id="rId10" Type="http://schemas.openxmlformats.org/officeDocument/2006/relationships/hyperlink" Target="https://lnks.gd/l/eyJhbGciOiJIUzI1NiJ9.eyJidWxsZXRpbl9saW5rX2lkIjoxMDEsInVyaSI6ImJwMjpjbGljayIsImJ1bGxldGluX2lkIjoiMjAxOTEwMjEuMTE3NjA3NjEiLCJ1cmwiOiJodHRwczovL3d3dy5jb25ncmVzcy5nb3YvMTE2L2JpbGxzL2hyNDM3OC9CSUxMUy0xMTZocjQzNzhlbnIucGRmIn0._M-3zWKI8Rby2OUsJJqvbB_MlpdZ4wXLbXxj2Jh8MnI/br/70351982117-l" TargetMode="External"/><Relationship Id="rId4" Type="http://schemas.openxmlformats.org/officeDocument/2006/relationships/webSettings" Target="webSettings.xml"/><Relationship Id="rId9" Type="http://schemas.openxmlformats.org/officeDocument/2006/relationships/hyperlink" Target="https://sf.freddiemac.com/articles/news/guide-bulletin-2019-17-updates-to-escrow-accounts-mortgages-for-relocating-borrowers-and-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Drover</dc:creator>
  <cp:keywords/>
  <dc:description/>
  <cp:lastModifiedBy>Jeanine Drover</cp:lastModifiedBy>
  <cp:revision>2</cp:revision>
  <dcterms:created xsi:type="dcterms:W3CDTF">2019-10-21T18:51:00Z</dcterms:created>
  <dcterms:modified xsi:type="dcterms:W3CDTF">2019-10-21T20:02:00Z</dcterms:modified>
</cp:coreProperties>
</file>